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7A79" w14:textId="7FC582F2" w:rsidR="00402AFA" w:rsidRPr="005E222B" w:rsidRDefault="00402AFA" w:rsidP="00402AFA">
      <w:pPr>
        <w:rPr>
          <w:rFonts w:ascii="Garamond" w:hAnsi="Garamond"/>
        </w:rPr>
      </w:pPr>
      <w:r w:rsidRPr="005E222B">
        <w:rPr>
          <w:rFonts w:ascii="Garamond" w:hAnsi="Garamond"/>
          <w:b/>
        </w:rPr>
        <w:t>Theory</w:t>
      </w:r>
      <w:r w:rsidRPr="005E222B">
        <w:rPr>
          <w:rFonts w:ascii="Garamond" w:hAnsi="Garamond"/>
        </w:rPr>
        <w:t xml:space="preserve"> (55%)</w:t>
      </w:r>
      <w:r w:rsidR="00610E27">
        <w:rPr>
          <w:rFonts w:ascii="Garamond" w:hAnsi="Garamond"/>
        </w:rPr>
        <w:tab/>
      </w:r>
      <w:r w:rsidR="00610E27">
        <w:rPr>
          <w:rFonts w:ascii="Garamond" w:hAnsi="Garamond"/>
        </w:rPr>
        <w:tab/>
      </w:r>
      <w:r w:rsidR="00610E27">
        <w:rPr>
          <w:rFonts w:ascii="Garamond" w:hAnsi="Garamond"/>
        </w:rPr>
        <w:tab/>
      </w:r>
      <w:r w:rsidR="00610E27">
        <w:rPr>
          <w:rFonts w:ascii="Garamond" w:hAnsi="Garamond"/>
        </w:rPr>
        <w:tab/>
      </w:r>
      <w:r w:rsidR="00610E27">
        <w:rPr>
          <w:rFonts w:ascii="Garamond" w:hAnsi="Garamond"/>
        </w:rPr>
        <w:tab/>
      </w:r>
      <w:r w:rsidR="00610E27">
        <w:rPr>
          <w:rFonts w:ascii="Garamond" w:hAnsi="Garamond"/>
        </w:rPr>
        <w:tab/>
      </w:r>
      <w:r w:rsidR="00610E27" w:rsidRPr="005E222B">
        <w:rPr>
          <w:rFonts w:ascii="Garamond" w:hAnsi="Garamond"/>
        </w:rPr>
        <w:t>NAME:</w:t>
      </w:r>
    </w:p>
    <w:p w14:paraId="69A14F71" w14:textId="77777777" w:rsidR="00FA2BA3" w:rsidRPr="005E222B" w:rsidRDefault="00402AFA" w:rsidP="00402AFA">
      <w:pPr>
        <w:rPr>
          <w:rFonts w:ascii="Garamond" w:hAnsi="Garamond" w:cs="Calibri"/>
        </w:rPr>
      </w:pPr>
      <w:r w:rsidRPr="005E222B">
        <w:rPr>
          <w:rFonts w:ascii="Garamond" w:hAnsi="Garamond" w:cs="Calibri"/>
        </w:rPr>
        <w:t xml:space="preserve">I. </w:t>
      </w:r>
      <w:r w:rsidRPr="003610CE">
        <w:rPr>
          <w:rFonts w:ascii="Garamond" w:hAnsi="Garamond" w:cs="Calibri"/>
          <w:b/>
          <w:bCs/>
          <w:i/>
        </w:rPr>
        <w:t>Basic Operations</w:t>
      </w:r>
      <w:r w:rsidRPr="005E222B">
        <w:rPr>
          <w:rFonts w:ascii="Garamond" w:hAnsi="Garamond" w:cs="Calibri"/>
        </w:rPr>
        <w:t>: A series is traditionally used in four different orderings: prime (P), inversion (I), retrograde (R), and retrograde-inversion (RI). Each of these four orderings may begin on any of the twelve pitch classes. Use the following twelve-tone series in answering the succeeding questions, and assume that each one is a P-form.</w:t>
      </w:r>
    </w:p>
    <w:p w14:paraId="6C7199EF" w14:textId="77777777" w:rsidR="00402AFA" w:rsidRPr="005E222B" w:rsidRDefault="00FA2BA3" w:rsidP="00402AFA">
      <w:pPr>
        <w:rPr>
          <w:rFonts w:ascii="Garamond" w:hAnsi="Garamond"/>
        </w:rPr>
      </w:pPr>
      <w:r w:rsidRPr="005E222B">
        <w:rPr>
          <w:rFonts w:ascii="Garamond" w:hAnsi="Garamond"/>
          <w:noProof/>
        </w:rPr>
        <w:drawing>
          <wp:inline distT="0" distB="0" distL="0" distR="0" wp14:anchorId="42E201E2" wp14:editId="736F1C35">
            <wp:extent cx="5213350" cy="2455499"/>
            <wp:effectExtent l="25400" t="0" r="0" b="0"/>
            <wp:docPr id="1" name="Picture 0" descr="Assn_6_ro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n_6_row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8862" cy="245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B57A4" w14:textId="77777777" w:rsidR="005252D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1.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For each of the notated series, write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the following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series forms.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(Give your answer both in integers and in staff notation.)</w:t>
      </w:r>
    </w:p>
    <w:p w14:paraId="62CE051E" w14:textId="77777777" w:rsidR="00FA2BA3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a.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P</w:t>
      </w:r>
      <w:r w:rsidRPr="005E222B">
        <w:rPr>
          <w:rFonts w:ascii="Garamond" w:hAnsi="Garamond"/>
          <w:vertAlign w:val="subscript"/>
        </w:rPr>
        <w:t>7</w:t>
      </w:r>
    </w:p>
    <w:p w14:paraId="14A7483C" w14:textId="77777777" w:rsidR="005252D4" w:rsidRPr="005E222B" w:rsidRDefault="00FA2BA3" w:rsidP="00402AFA">
      <w:pPr>
        <w:rPr>
          <w:rFonts w:ascii="Garamond" w:hAnsi="Garamond"/>
        </w:rPr>
      </w:pPr>
      <w:r w:rsidRPr="005E222B">
        <w:rPr>
          <w:rFonts w:ascii="Garamond" w:hAnsi="Garamond"/>
          <w:noProof/>
        </w:rPr>
        <w:drawing>
          <wp:inline distT="0" distB="0" distL="0" distR="0" wp14:anchorId="089A06AF" wp14:editId="17FF0A92">
            <wp:extent cx="5943600" cy="490855"/>
            <wp:effectExtent l="25400" t="0" r="0" b="0"/>
            <wp:docPr id="2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AF4B2" w14:textId="77777777" w:rsidR="00FA2BA3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b. R</w:t>
      </w:r>
      <w:r w:rsidR="00FA2BA3" w:rsidRPr="005E222B">
        <w:rPr>
          <w:rFonts w:ascii="Garamond" w:hAnsi="Garamond"/>
          <w:vertAlign w:val="subscript"/>
        </w:rPr>
        <w:t>10</w:t>
      </w:r>
    </w:p>
    <w:p w14:paraId="1DDA34C5" w14:textId="77777777" w:rsidR="00FA2BA3" w:rsidRPr="005E222B" w:rsidRDefault="00FA2BA3" w:rsidP="00402AFA">
      <w:pPr>
        <w:rPr>
          <w:rFonts w:ascii="Garamond" w:hAnsi="Garamond"/>
        </w:rPr>
      </w:pPr>
      <w:r w:rsidRPr="005E222B">
        <w:rPr>
          <w:rFonts w:ascii="Garamond" w:hAnsi="Garamond"/>
          <w:noProof/>
        </w:rPr>
        <w:drawing>
          <wp:inline distT="0" distB="0" distL="0" distR="0" wp14:anchorId="2E452FD9" wp14:editId="2F496323">
            <wp:extent cx="5943600" cy="490855"/>
            <wp:effectExtent l="25400" t="0" r="0" b="0"/>
            <wp:docPr id="3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2736D1" w14:textId="77777777" w:rsidR="00FA2BA3" w:rsidRPr="005E222B" w:rsidRDefault="00FA2BA3" w:rsidP="00FA2BA3">
      <w:pPr>
        <w:rPr>
          <w:rFonts w:ascii="Garamond" w:hAnsi="Garamond"/>
        </w:rPr>
      </w:pPr>
      <w:r w:rsidRPr="005E222B">
        <w:rPr>
          <w:rFonts w:ascii="Garamond" w:hAnsi="Garamond"/>
        </w:rPr>
        <w:t>c. RI</w:t>
      </w:r>
      <w:r w:rsidRPr="005E222B">
        <w:rPr>
          <w:rFonts w:ascii="Garamond" w:hAnsi="Garamond"/>
          <w:vertAlign w:val="subscript"/>
        </w:rPr>
        <w:t>6</w:t>
      </w:r>
    </w:p>
    <w:p w14:paraId="166ED42F" w14:textId="77777777" w:rsidR="00FA2BA3" w:rsidRPr="005E222B" w:rsidRDefault="00FA2BA3" w:rsidP="00402AFA">
      <w:pPr>
        <w:rPr>
          <w:rFonts w:ascii="Garamond" w:hAnsi="Garamond"/>
        </w:rPr>
      </w:pPr>
      <w:r w:rsidRPr="005E222B">
        <w:rPr>
          <w:rFonts w:ascii="Garamond" w:hAnsi="Garamond"/>
          <w:noProof/>
        </w:rPr>
        <w:drawing>
          <wp:inline distT="0" distB="0" distL="0" distR="0" wp14:anchorId="2D6CFE3F" wp14:editId="49628A22">
            <wp:extent cx="5943600" cy="490855"/>
            <wp:effectExtent l="25400" t="0" r="0" b="0"/>
            <wp:docPr id="4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CEC3E6" w14:textId="77777777" w:rsidR="00FA2BA3" w:rsidRPr="005E222B" w:rsidRDefault="00FA2BA3" w:rsidP="00FA2BA3">
      <w:pPr>
        <w:rPr>
          <w:rFonts w:ascii="Garamond" w:hAnsi="Garamond"/>
        </w:rPr>
      </w:pPr>
      <w:r w:rsidRPr="005E222B">
        <w:rPr>
          <w:rFonts w:ascii="Garamond" w:hAnsi="Garamond"/>
        </w:rPr>
        <w:t>d. I</w:t>
      </w:r>
      <w:r w:rsidRPr="005E222B">
        <w:rPr>
          <w:rFonts w:ascii="Garamond" w:hAnsi="Garamond"/>
          <w:vertAlign w:val="subscript"/>
        </w:rPr>
        <w:t>5</w:t>
      </w:r>
    </w:p>
    <w:p w14:paraId="6DA6106F" w14:textId="023D1D36" w:rsidR="00610E27" w:rsidRDefault="00FA2BA3">
      <w:pPr>
        <w:rPr>
          <w:rFonts w:ascii="Garamond" w:hAnsi="Garamond"/>
        </w:rPr>
      </w:pPr>
      <w:r w:rsidRPr="005E222B">
        <w:rPr>
          <w:rFonts w:ascii="Garamond" w:hAnsi="Garamond"/>
          <w:noProof/>
        </w:rPr>
        <w:drawing>
          <wp:inline distT="0" distB="0" distL="0" distR="0" wp14:anchorId="645A0C9F" wp14:editId="6DA31A88">
            <wp:extent cx="5943600" cy="490855"/>
            <wp:effectExtent l="25400" t="0" r="0" b="0"/>
            <wp:docPr id="5" name="Picture 1" descr="::::::Documents:Coursework:Music 201:Bartok/Messiaen:sta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:Documents:Coursework:Music 201:Bartok/Messiaen:staff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3D89E" w14:textId="573D81B6" w:rsidR="005252D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lastRenderedPageBreak/>
        <w:t>2.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 xml:space="preserve">Each of the following series is a transformation </w:t>
      </w:r>
      <w:r w:rsidR="00A80F18" w:rsidRPr="005E222B">
        <w:rPr>
          <w:rFonts w:ascii="Garamond" w:hAnsi="Garamond"/>
        </w:rPr>
        <w:t xml:space="preserve">of </w:t>
      </w:r>
      <w:r w:rsidRPr="005E222B">
        <w:rPr>
          <w:rFonts w:ascii="Garamond" w:hAnsi="Garamond"/>
        </w:rPr>
        <w:t xml:space="preserve">one of the four given above. </w:t>
      </w:r>
      <w:r w:rsidR="00402AFA" w:rsidRPr="005E222B">
        <w:rPr>
          <w:rFonts w:ascii="Garamond" w:hAnsi="Garamond"/>
        </w:rPr>
        <w:t>Iden</w:t>
      </w:r>
      <w:r w:rsidRPr="005E222B">
        <w:rPr>
          <w:rFonts w:ascii="Garamond" w:hAnsi="Garamond"/>
        </w:rPr>
        <w:t>tify the series and the transformation.</w:t>
      </w:r>
    </w:p>
    <w:p w14:paraId="17C9D415" w14:textId="01FE39F2" w:rsidR="00BD4D12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a.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 xml:space="preserve">7, 6, 2, 11, 9, 4, 10, 3, 5, 8, 0, 1 </w:t>
      </w:r>
      <w:r w:rsidR="00BD4D12" w:rsidRPr="005E222B">
        <w:rPr>
          <w:rFonts w:ascii="Garamond" w:hAnsi="Garamond"/>
        </w:rPr>
        <w:t>:</w:t>
      </w:r>
      <w:r w:rsidR="00610E27">
        <w:rPr>
          <w:rFonts w:ascii="Garamond" w:hAnsi="Garamond"/>
        </w:rPr>
        <w:br/>
      </w:r>
    </w:p>
    <w:p w14:paraId="34D9E353" w14:textId="11019F81" w:rsidR="00BD4D12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 xml:space="preserve">b. 3, 4, 8, 7, 0, 2, 1, 5, 9, 10, 11, 6 </w:t>
      </w:r>
      <w:r w:rsidR="00BD4D12" w:rsidRPr="005E222B">
        <w:rPr>
          <w:rFonts w:ascii="Garamond" w:hAnsi="Garamond"/>
        </w:rPr>
        <w:t>:</w:t>
      </w:r>
      <w:r w:rsidR="00610E27">
        <w:rPr>
          <w:rFonts w:ascii="Garamond" w:hAnsi="Garamond"/>
        </w:rPr>
        <w:br/>
      </w:r>
    </w:p>
    <w:p w14:paraId="25F2BBC0" w14:textId="67B7AD32" w:rsidR="00BD4D12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c. 4,</w:t>
      </w:r>
      <w:r w:rsidR="00BD4D12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6,</w:t>
      </w:r>
      <w:r w:rsidR="00BD4D12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0, 1,</w:t>
      </w:r>
      <w:r w:rsidR="00BD4D12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5,</w:t>
      </w:r>
      <w:r w:rsidR="00BD4D12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7,</w:t>
      </w:r>
      <w:r w:rsidR="00BD4D12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2, 11,</w:t>
      </w:r>
      <w:r w:rsidR="00BD4D12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9,</w:t>
      </w:r>
      <w:r w:rsidR="00BD4D12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8,</w:t>
      </w:r>
      <w:r w:rsidR="00BD4D12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 xml:space="preserve">3, 10 </w:t>
      </w:r>
      <w:r w:rsidR="00BD4D12" w:rsidRPr="005E222B">
        <w:rPr>
          <w:rFonts w:ascii="Garamond" w:hAnsi="Garamond"/>
        </w:rPr>
        <w:t>:</w:t>
      </w:r>
      <w:r w:rsidR="00610E27">
        <w:rPr>
          <w:rFonts w:ascii="Garamond" w:hAnsi="Garamond"/>
        </w:rPr>
        <w:br/>
      </w:r>
    </w:p>
    <w:p w14:paraId="262AA5F6" w14:textId="0C7C4EFA" w:rsidR="00810AE1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d. 8, 7, 11, 0, 4, 3, 5, 1, 2, 9, 10,</w:t>
      </w:r>
      <w:r w:rsidR="00BD4D12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 xml:space="preserve">6 </w:t>
      </w:r>
      <w:r w:rsidR="00BD4D12" w:rsidRPr="005E222B">
        <w:rPr>
          <w:rFonts w:ascii="Garamond" w:hAnsi="Garamond"/>
        </w:rPr>
        <w:t>:</w:t>
      </w:r>
      <w:r w:rsidR="00610E27">
        <w:rPr>
          <w:rFonts w:ascii="Garamond" w:hAnsi="Garamond"/>
        </w:rPr>
        <w:br/>
      </w:r>
    </w:p>
    <w:p w14:paraId="4D2D8271" w14:textId="77777777" w:rsidR="005252D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3. For each of the notated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series, construct a 12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X 12 matrix. Using the matrix,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check your answers to the previous questions.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798"/>
        <w:gridCol w:w="4798"/>
      </w:tblGrid>
      <w:tr w:rsidR="00BD4D12" w:rsidRPr="005E222B" w14:paraId="24EC0671" w14:textId="77777777">
        <w:tc>
          <w:tcPr>
            <w:tcW w:w="4798" w:type="dxa"/>
            <w:tcBorders>
              <w:top w:val="triple" w:sz="4" w:space="0" w:color="000000" w:themeColor="text1"/>
              <w:left w:val="triple" w:sz="4" w:space="0" w:color="000000" w:themeColor="text1"/>
              <w:bottom w:val="triple" w:sz="4" w:space="0" w:color="000000" w:themeColor="text1"/>
              <w:right w:val="triple" w:sz="4" w:space="0" w:color="000000" w:themeColor="text1"/>
            </w:tcBorders>
          </w:tcPr>
          <w:p w14:paraId="65F20C1B" w14:textId="77777777" w:rsidR="00BD4D12" w:rsidRPr="005E222B" w:rsidRDefault="00BD4D12" w:rsidP="00402AFA">
            <w:pPr>
              <w:rPr>
                <w:rFonts w:ascii="Garamond" w:hAnsi="Garamond"/>
                <w:b/>
              </w:rPr>
            </w:pPr>
            <w:r w:rsidRPr="005E222B">
              <w:rPr>
                <w:rFonts w:ascii="Garamond" w:hAnsi="Garamond"/>
                <w:b/>
              </w:rPr>
              <w:t>a</w:t>
            </w:r>
          </w:p>
        </w:tc>
        <w:tc>
          <w:tcPr>
            <w:tcW w:w="4798" w:type="dxa"/>
            <w:tcBorders>
              <w:top w:val="triple" w:sz="4" w:space="0" w:color="000000" w:themeColor="text1"/>
              <w:left w:val="triple" w:sz="4" w:space="0" w:color="000000" w:themeColor="text1"/>
              <w:bottom w:val="triple" w:sz="4" w:space="0" w:color="000000" w:themeColor="text1"/>
              <w:right w:val="triple" w:sz="4" w:space="0" w:color="000000" w:themeColor="text1"/>
            </w:tcBorders>
          </w:tcPr>
          <w:p w14:paraId="11C74699" w14:textId="77777777" w:rsidR="00BD4D12" w:rsidRPr="005E222B" w:rsidRDefault="00BD4D12" w:rsidP="00402AFA">
            <w:pPr>
              <w:rPr>
                <w:rFonts w:ascii="Garamond" w:hAnsi="Garamond"/>
                <w:b/>
              </w:rPr>
            </w:pPr>
            <w:r w:rsidRPr="005E222B">
              <w:rPr>
                <w:rFonts w:ascii="Garamond" w:hAnsi="Garamond"/>
                <w:b/>
              </w:rPr>
              <w:t>b</w:t>
            </w:r>
          </w:p>
        </w:tc>
      </w:tr>
      <w:tr w:rsidR="00BD4D12" w:rsidRPr="005E222B" w14:paraId="297F3073" w14:textId="77777777">
        <w:tc>
          <w:tcPr>
            <w:tcW w:w="4798" w:type="dxa"/>
            <w:tcBorders>
              <w:top w:val="triple" w:sz="4" w:space="0" w:color="000000" w:themeColor="text1"/>
              <w:left w:val="triple" w:sz="4" w:space="0" w:color="000000" w:themeColor="text1"/>
              <w:bottom w:val="triple" w:sz="4" w:space="0" w:color="000000" w:themeColor="text1"/>
              <w:right w:val="triple" w:sz="4" w:space="0" w:color="000000" w:themeColor="text1"/>
            </w:tcBorders>
          </w:tcPr>
          <w:tbl>
            <w:tblPr>
              <w:tblStyle w:val="TableGrid"/>
              <w:tblW w:w="0" w:type="auto"/>
              <w:tblLook w:val="00A0" w:firstRow="1" w:lastRow="0" w:firstColumn="1" w:lastColumn="0" w:noHBand="0" w:noVBand="0"/>
            </w:tblPr>
            <w:tblGrid>
              <w:gridCol w:w="380"/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81"/>
            </w:tblGrid>
            <w:tr w:rsidR="00BD4D12" w:rsidRPr="005E222B" w14:paraId="0BCAA851" w14:textId="77777777">
              <w:tc>
                <w:tcPr>
                  <w:tcW w:w="380" w:type="dxa"/>
                </w:tcPr>
                <w:p w14:paraId="0DBFF2F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7D9E13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CA2379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63AE38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C36DBA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F955EF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0685CA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EB669D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707904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836198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E7D486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75039E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1E3E7493" w14:textId="77777777">
              <w:tc>
                <w:tcPr>
                  <w:tcW w:w="380" w:type="dxa"/>
                </w:tcPr>
                <w:p w14:paraId="78A7EAE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CEB00E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E8E49E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3B5EE4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583A91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6FB665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593242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8DDC2C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E854BD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ABC50B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572AC1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B3FEB9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7302FE6A" w14:textId="77777777">
              <w:tc>
                <w:tcPr>
                  <w:tcW w:w="380" w:type="dxa"/>
                </w:tcPr>
                <w:p w14:paraId="5D0AE80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673DFA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6571F3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75496B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3276E6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AC369F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5C50EE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3DACE6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C2C13C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1FF065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FA3240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0A9F40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55465725" w14:textId="77777777">
              <w:tc>
                <w:tcPr>
                  <w:tcW w:w="380" w:type="dxa"/>
                </w:tcPr>
                <w:p w14:paraId="54E714D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017E23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F4E047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F0F053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E4774F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65F99E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C9FE8C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DB27E3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3A13FA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C14AA2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FCFD5E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34E134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77BAD07F" w14:textId="77777777">
              <w:tc>
                <w:tcPr>
                  <w:tcW w:w="380" w:type="dxa"/>
                </w:tcPr>
                <w:p w14:paraId="068A03C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7C0B5B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7095E4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D72368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1A30BD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709606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DC4964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9C5FE7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BC0829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35F70E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F7B9D7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454E3F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42BC6854" w14:textId="77777777">
              <w:tc>
                <w:tcPr>
                  <w:tcW w:w="380" w:type="dxa"/>
                </w:tcPr>
                <w:p w14:paraId="54DDA0E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571C49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8906B9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77C4E4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6D4E6F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0AE844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2146D4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4B046E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99DFD0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D00532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082CAB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4A6EC1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052ACCB3" w14:textId="77777777">
              <w:tc>
                <w:tcPr>
                  <w:tcW w:w="380" w:type="dxa"/>
                </w:tcPr>
                <w:p w14:paraId="50FB320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FBC579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7793C8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1131C5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53342F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A9E011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A9D6C2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44B246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1C0768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F8F331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3A6E4E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4A9122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5859AD53" w14:textId="77777777">
              <w:tc>
                <w:tcPr>
                  <w:tcW w:w="380" w:type="dxa"/>
                </w:tcPr>
                <w:p w14:paraId="55FB90A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EE9DF5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D28EF2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66C9FD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03DA73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843EEB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129121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FA78D4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9E42BA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16C2C8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DF4A54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D75B97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5FD2F690" w14:textId="77777777">
              <w:tc>
                <w:tcPr>
                  <w:tcW w:w="380" w:type="dxa"/>
                </w:tcPr>
                <w:p w14:paraId="035B3CE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E3CCF3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DE5AA7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EC9C0B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CF327B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7484FC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C29887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06625A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9BEAC5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2E756E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FFEDEE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FBAE43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0C8B4B8F" w14:textId="77777777">
              <w:tc>
                <w:tcPr>
                  <w:tcW w:w="380" w:type="dxa"/>
                </w:tcPr>
                <w:p w14:paraId="3B49DC9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B9F498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8D4388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08A4CC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4AFE95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B97D5A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AEB09E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5E6E3C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5BCA6A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15317D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BC6302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D331A7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6AE597ED" w14:textId="77777777">
              <w:tc>
                <w:tcPr>
                  <w:tcW w:w="380" w:type="dxa"/>
                </w:tcPr>
                <w:p w14:paraId="56DE57E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ADE560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E9693E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1B58E9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D2CFAA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1977A9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B46714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874B81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0C80C2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587D37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6C77FA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E77F45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46C3E361" w14:textId="77777777">
              <w:tc>
                <w:tcPr>
                  <w:tcW w:w="380" w:type="dxa"/>
                </w:tcPr>
                <w:p w14:paraId="050255A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59C0F7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F0A9D2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53CA9B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348315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39AB31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0D598A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D4E1EF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90639C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EE3630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45B73C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374E6B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14:paraId="63F6E577" w14:textId="77777777" w:rsidR="00BD4D12" w:rsidRPr="005E222B" w:rsidRDefault="00BD4D12" w:rsidP="00402AFA">
            <w:pPr>
              <w:rPr>
                <w:rFonts w:ascii="Garamond" w:hAnsi="Garamond"/>
              </w:rPr>
            </w:pPr>
          </w:p>
        </w:tc>
        <w:tc>
          <w:tcPr>
            <w:tcW w:w="4798" w:type="dxa"/>
            <w:tcBorders>
              <w:top w:val="triple" w:sz="4" w:space="0" w:color="000000" w:themeColor="text1"/>
              <w:left w:val="triple" w:sz="4" w:space="0" w:color="000000" w:themeColor="text1"/>
              <w:bottom w:val="triple" w:sz="4" w:space="0" w:color="000000" w:themeColor="text1"/>
              <w:right w:val="triple" w:sz="4" w:space="0" w:color="000000" w:themeColor="text1"/>
            </w:tcBorders>
          </w:tcPr>
          <w:tbl>
            <w:tblPr>
              <w:tblStyle w:val="TableGrid"/>
              <w:tblW w:w="0" w:type="auto"/>
              <w:tblLook w:val="00A0" w:firstRow="1" w:lastRow="0" w:firstColumn="1" w:lastColumn="0" w:noHBand="0" w:noVBand="0"/>
            </w:tblPr>
            <w:tblGrid>
              <w:gridCol w:w="380"/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81"/>
            </w:tblGrid>
            <w:tr w:rsidR="00BD4D12" w:rsidRPr="005E222B" w14:paraId="19BFFE29" w14:textId="77777777">
              <w:tc>
                <w:tcPr>
                  <w:tcW w:w="380" w:type="dxa"/>
                </w:tcPr>
                <w:p w14:paraId="11CDEF4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46169F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82ABCD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A9A451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B5A434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0D4ABA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9CAE97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86A1C2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9C6829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F8CE22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ACDB3D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078EA4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5781937B" w14:textId="77777777">
              <w:tc>
                <w:tcPr>
                  <w:tcW w:w="380" w:type="dxa"/>
                </w:tcPr>
                <w:p w14:paraId="75861AF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4C69A0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20EEB7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16BD23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06BE18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5B8645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DEF3FF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E74D99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3CB616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C654C9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5382D5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72F955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46C991AE" w14:textId="77777777">
              <w:tc>
                <w:tcPr>
                  <w:tcW w:w="380" w:type="dxa"/>
                </w:tcPr>
                <w:p w14:paraId="2103C43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88AD5A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13374E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E18D12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91DB6F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3FFFE3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EC9371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8541BE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DBFCBA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1F5ACB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8F01F3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EEAF51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1846774E" w14:textId="77777777">
              <w:tc>
                <w:tcPr>
                  <w:tcW w:w="380" w:type="dxa"/>
                </w:tcPr>
                <w:p w14:paraId="3DE692B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197031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95D90C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588B1F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820DC2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FAA823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B52146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6E4A10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C01A66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659FE8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5859E6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21C070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6FABD3E9" w14:textId="77777777">
              <w:tc>
                <w:tcPr>
                  <w:tcW w:w="380" w:type="dxa"/>
                </w:tcPr>
                <w:p w14:paraId="625BA40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0B19A2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874C28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257C3E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C046A3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06B70E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4D7659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660847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FC63DF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34509D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A96A15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FB78D1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41C11571" w14:textId="77777777">
              <w:tc>
                <w:tcPr>
                  <w:tcW w:w="380" w:type="dxa"/>
                </w:tcPr>
                <w:p w14:paraId="2DED92E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E2941C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FCCEF9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410699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4AEC73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01DD6F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3CC5B8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1DF504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F17D3F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02C781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507C26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5B9BE2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11A9664F" w14:textId="77777777">
              <w:tc>
                <w:tcPr>
                  <w:tcW w:w="380" w:type="dxa"/>
                </w:tcPr>
                <w:p w14:paraId="2760752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A7A4E1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113107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36C6B7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163AF3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844AC8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D9B02E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ECAE05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80C1DB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3DD390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8E237F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98A81F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1AA89DB2" w14:textId="77777777">
              <w:tc>
                <w:tcPr>
                  <w:tcW w:w="380" w:type="dxa"/>
                </w:tcPr>
                <w:p w14:paraId="2AC69C4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066E0E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5CF013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16D97A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45EEBB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886428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1B2BD2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10EB2D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BF0CF9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05948C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C4A8BB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2DE712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4AE8B442" w14:textId="77777777">
              <w:tc>
                <w:tcPr>
                  <w:tcW w:w="380" w:type="dxa"/>
                </w:tcPr>
                <w:p w14:paraId="51B6810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181527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946A14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5A559F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379FFC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A571A7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A9FFE0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6E163D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FBF9D9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50CD6E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89D7FA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D3665B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5E090813" w14:textId="77777777">
              <w:tc>
                <w:tcPr>
                  <w:tcW w:w="380" w:type="dxa"/>
                </w:tcPr>
                <w:p w14:paraId="5C582A3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D58121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6BBBAB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AF7436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AE13AA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D94050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29136F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7F619F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74DEA3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31F64F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6717D4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ADEBD1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7BF200C0" w14:textId="77777777">
              <w:tc>
                <w:tcPr>
                  <w:tcW w:w="380" w:type="dxa"/>
                </w:tcPr>
                <w:p w14:paraId="1B87B04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F81379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B3E08A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5DF9B8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E5D88B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552C13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2CAB0D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4F031B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DAFA64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68B9EA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5516B5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F8FD52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4299ABDF" w14:textId="77777777">
              <w:tc>
                <w:tcPr>
                  <w:tcW w:w="380" w:type="dxa"/>
                </w:tcPr>
                <w:p w14:paraId="0E13CB0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8616A9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C431DE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5DE710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1A39C3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CAC04E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E44EA8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4E7453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75743F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9D6632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0A6602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9C4811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14:paraId="1C63534B" w14:textId="77777777" w:rsidR="00BD4D12" w:rsidRPr="005E222B" w:rsidRDefault="00BD4D12" w:rsidP="00402AFA">
            <w:pPr>
              <w:rPr>
                <w:rFonts w:ascii="Garamond" w:hAnsi="Garamond"/>
              </w:rPr>
            </w:pPr>
          </w:p>
        </w:tc>
      </w:tr>
      <w:tr w:rsidR="00BD4D12" w:rsidRPr="005E222B" w14:paraId="6A0B9D20" w14:textId="77777777">
        <w:tc>
          <w:tcPr>
            <w:tcW w:w="4798" w:type="dxa"/>
            <w:tcBorders>
              <w:top w:val="triple" w:sz="4" w:space="0" w:color="000000" w:themeColor="text1"/>
              <w:left w:val="triple" w:sz="4" w:space="0" w:color="000000" w:themeColor="text1"/>
              <w:bottom w:val="triple" w:sz="4" w:space="0" w:color="000000" w:themeColor="text1"/>
              <w:right w:val="triple" w:sz="4" w:space="0" w:color="000000" w:themeColor="text1"/>
            </w:tcBorders>
          </w:tcPr>
          <w:p w14:paraId="0F727B34" w14:textId="77777777" w:rsidR="00BD4D12" w:rsidRPr="005E222B" w:rsidRDefault="00BD4D12" w:rsidP="00402AFA">
            <w:pPr>
              <w:rPr>
                <w:rFonts w:ascii="Garamond" w:hAnsi="Garamond"/>
                <w:b/>
              </w:rPr>
            </w:pPr>
            <w:r w:rsidRPr="005E222B">
              <w:rPr>
                <w:rFonts w:ascii="Garamond" w:hAnsi="Garamond"/>
                <w:b/>
              </w:rPr>
              <w:t>c</w:t>
            </w:r>
          </w:p>
        </w:tc>
        <w:tc>
          <w:tcPr>
            <w:tcW w:w="4798" w:type="dxa"/>
            <w:tcBorders>
              <w:top w:val="triple" w:sz="4" w:space="0" w:color="000000" w:themeColor="text1"/>
              <w:left w:val="triple" w:sz="4" w:space="0" w:color="000000" w:themeColor="text1"/>
              <w:bottom w:val="triple" w:sz="4" w:space="0" w:color="000000" w:themeColor="text1"/>
              <w:right w:val="triple" w:sz="4" w:space="0" w:color="000000" w:themeColor="text1"/>
            </w:tcBorders>
          </w:tcPr>
          <w:p w14:paraId="35ED420C" w14:textId="77777777" w:rsidR="00BD4D12" w:rsidRPr="005E222B" w:rsidRDefault="00BD4D12" w:rsidP="00402AFA">
            <w:pPr>
              <w:rPr>
                <w:rFonts w:ascii="Garamond" w:hAnsi="Garamond"/>
                <w:b/>
              </w:rPr>
            </w:pPr>
            <w:r w:rsidRPr="005E222B">
              <w:rPr>
                <w:rFonts w:ascii="Garamond" w:hAnsi="Garamond"/>
                <w:b/>
              </w:rPr>
              <w:t>d</w:t>
            </w:r>
          </w:p>
        </w:tc>
      </w:tr>
      <w:tr w:rsidR="00BD4D12" w:rsidRPr="005E222B" w14:paraId="41952F5B" w14:textId="77777777">
        <w:tc>
          <w:tcPr>
            <w:tcW w:w="4798" w:type="dxa"/>
            <w:tcBorders>
              <w:top w:val="triple" w:sz="4" w:space="0" w:color="000000" w:themeColor="text1"/>
              <w:left w:val="triple" w:sz="4" w:space="0" w:color="000000" w:themeColor="text1"/>
              <w:bottom w:val="triple" w:sz="4" w:space="0" w:color="000000" w:themeColor="text1"/>
              <w:right w:val="triple" w:sz="4" w:space="0" w:color="000000" w:themeColor="text1"/>
            </w:tcBorders>
          </w:tcPr>
          <w:tbl>
            <w:tblPr>
              <w:tblStyle w:val="TableGrid"/>
              <w:tblW w:w="0" w:type="auto"/>
              <w:tblLook w:val="00A0" w:firstRow="1" w:lastRow="0" w:firstColumn="1" w:lastColumn="0" w:noHBand="0" w:noVBand="0"/>
            </w:tblPr>
            <w:tblGrid>
              <w:gridCol w:w="380"/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81"/>
            </w:tblGrid>
            <w:tr w:rsidR="00BD4D12" w:rsidRPr="005E222B" w14:paraId="066C28FF" w14:textId="77777777">
              <w:tc>
                <w:tcPr>
                  <w:tcW w:w="380" w:type="dxa"/>
                </w:tcPr>
                <w:p w14:paraId="5A97BB8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A01066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45F5C4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9641F3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10E010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14B56E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2515CB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65FBEC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227161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087278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C034DB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5C94BC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60C52711" w14:textId="77777777">
              <w:tc>
                <w:tcPr>
                  <w:tcW w:w="380" w:type="dxa"/>
                </w:tcPr>
                <w:p w14:paraId="7E6D781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8A589D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1A6A60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13CEE2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98844A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BBF6EC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A09782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8540C7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B6E50C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21E84B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7D63BD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0C1AAE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2C5DDDD0" w14:textId="77777777">
              <w:tc>
                <w:tcPr>
                  <w:tcW w:w="380" w:type="dxa"/>
                </w:tcPr>
                <w:p w14:paraId="0678B34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F81BD0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F3D650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15A5D5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2BBC69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8BE95F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28B783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B90009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E73918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2A39FE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A39ED9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B5C3B5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61099519" w14:textId="77777777">
              <w:tc>
                <w:tcPr>
                  <w:tcW w:w="380" w:type="dxa"/>
                </w:tcPr>
                <w:p w14:paraId="2813408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59FCF0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ED5A0F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48D461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AC71E8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3EAD4A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2ED83C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CE64DF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A49547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A3B513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0A7BD7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E1C5C3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0A7AD8D9" w14:textId="77777777">
              <w:tc>
                <w:tcPr>
                  <w:tcW w:w="380" w:type="dxa"/>
                </w:tcPr>
                <w:p w14:paraId="47A9C87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77C0B5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CCB01F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317048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51641F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1ED185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FCB8E4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F1D4CD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21A0DB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C8C894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67C6A2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E01147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1D52F6DA" w14:textId="77777777">
              <w:tc>
                <w:tcPr>
                  <w:tcW w:w="380" w:type="dxa"/>
                </w:tcPr>
                <w:p w14:paraId="25DDB88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5FDCA2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440CDE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526DB7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EBD92C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9B4F1D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DAF00F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DC4526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F9B0C0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A28EF5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F738A9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E97B6F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2FA105CF" w14:textId="77777777">
              <w:tc>
                <w:tcPr>
                  <w:tcW w:w="380" w:type="dxa"/>
                </w:tcPr>
                <w:p w14:paraId="12D4C9D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850CD6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EE478A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DF66EA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1FF9C1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612EFC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F85503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8639DF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0B0890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F85285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269229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661C3C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7AEB201E" w14:textId="77777777">
              <w:tc>
                <w:tcPr>
                  <w:tcW w:w="380" w:type="dxa"/>
                </w:tcPr>
                <w:p w14:paraId="4F689F7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BBAFDE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FAABCE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41D3EF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106205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31283F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85C771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E516C3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4B1896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9F0B4A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24EE65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7E6C39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772E15DA" w14:textId="77777777">
              <w:tc>
                <w:tcPr>
                  <w:tcW w:w="380" w:type="dxa"/>
                </w:tcPr>
                <w:p w14:paraId="293C270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3B2AC7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88FE29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2F3C67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D12A65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F83436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9BD6EF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3566AD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54CCE8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E9B315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2C1720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24188E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38360184" w14:textId="77777777">
              <w:tc>
                <w:tcPr>
                  <w:tcW w:w="380" w:type="dxa"/>
                </w:tcPr>
                <w:p w14:paraId="3E0949C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5601B4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3025CC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CAE727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B6B460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D6B71B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DF618D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525275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D62DFB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52C4DC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FB0F29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258154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46E8DFE3" w14:textId="77777777">
              <w:tc>
                <w:tcPr>
                  <w:tcW w:w="380" w:type="dxa"/>
                </w:tcPr>
                <w:p w14:paraId="0AE4F70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CE490D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79674A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205387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D54810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DE7BCA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E3DCA0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37B792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2E2CF1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22E7E1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CA90E8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CA0264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28D258ED" w14:textId="77777777">
              <w:tc>
                <w:tcPr>
                  <w:tcW w:w="380" w:type="dxa"/>
                </w:tcPr>
                <w:p w14:paraId="6EE1D17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82EBA4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3ADC24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C02573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0D8886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DF5FD2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0FDDFA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67976F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CD49F4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3EFCC6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180475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13D542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14:paraId="28AA4023" w14:textId="77777777" w:rsidR="00BD4D12" w:rsidRPr="005E222B" w:rsidRDefault="00BD4D12" w:rsidP="00402AFA">
            <w:pPr>
              <w:rPr>
                <w:rFonts w:ascii="Garamond" w:hAnsi="Garamond"/>
              </w:rPr>
            </w:pPr>
          </w:p>
        </w:tc>
        <w:tc>
          <w:tcPr>
            <w:tcW w:w="4798" w:type="dxa"/>
            <w:tcBorders>
              <w:top w:val="triple" w:sz="4" w:space="0" w:color="000000" w:themeColor="text1"/>
              <w:left w:val="triple" w:sz="4" w:space="0" w:color="000000" w:themeColor="text1"/>
              <w:bottom w:val="triple" w:sz="4" w:space="0" w:color="000000" w:themeColor="text1"/>
              <w:right w:val="triple" w:sz="4" w:space="0" w:color="000000" w:themeColor="text1"/>
            </w:tcBorders>
          </w:tcPr>
          <w:tbl>
            <w:tblPr>
              <w:tblStyle w:val="TableGrid"/>
              <w:tblW w:w="0" w:type="auto"/>
              <w:tblLook w:val="00A0" w:firstRow="1" w:lastRow="0" w:firstColumn="1" w:lastColumn="0" w:noHBand="0" w:noVBand="0"/>
            </w:tblPr>
            <w:tblGrid>
              <w:gridCol w:w="380"/>
              <w:gridCol w:w="380"/>
              <w:gridCol w:w="380"/>
              <w:gridCol w:w="380"/>
              <w:gridCol w:w="380"/>
              <w:gridCol w:w="381"/>
              <w:gridCol w:w="381"/>
              <w:gridCol w:w="381"/>
              <w:gridCol w:w="381"/>
              <w:gridCol w:w="381"/>
              <w:gridCol w:w="381"/>
              <w:gridCol w:w="381"/>
            </w:tblGrid>
            <w:tr w:rsidR="00BD4D12" w:rsidRPr="005E222B" w14:paraId="13B0DE14" w14:textId="77777777">
              <w:tc>
                <w:tcPr>
                  <w:tcW w:w="380" w:type="dxa"/>
                </w:tcPr>
                <w:p w14:paraId="266B3AF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AC3144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8EDBC8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3654E7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081295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61CBCB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780697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45B8BF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7148AD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A1F68B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200418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EDF32E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47CE4F77" w14:textId="77777777">
              <w:tc>
                <w:tcPr>
                  <w:tcW w:w="380" w:type="dxa"/>
                </w:tcPr>
                <w:p w14:paraId="0344590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018C22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0DE279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5A2BF2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F8B099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3FBB86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ADF0DE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A245A3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FA6A66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74AD23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C6FCAD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7C691A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5B0738DD" w14:textId="77777777">
              <w:tc>
                <w:tcPr>
                  <w:tcW w:w="380" w:type="dxa"/>
                </w:tcPr>
                <w:p w14:paraId="50CB70F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7BA247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B16274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BEC8E4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D1C07D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764FA0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7D99AB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212329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F2B438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9C9DA1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FBFE17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F38A46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5713DB57" w14:textId="77777777">
              <w:tc>
                <w:tcPr>
                  <w:tcW w:w="380" w:type="dxa"/>
                </w:tcPr>
                <w:p w14:paraId="3F1D5A6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4217B9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38EC10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68FB80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292DA7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6D350A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3CB1A6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1C17AB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68CFA3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968246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B49C9D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8D0A34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438212B5" w14:textId="77777777">
              <w:tc>
                <w:tcPr>
                  <w:tcW w:w="380" w:type="dxa"/>
                </w:tcPr>
                <w:p w14:paraId="2FD2739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7A86F2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3BCC6B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C213AD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1DC3A4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8B58C2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7CE17C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872C07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54ECEF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B6731A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0E9800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8E27A7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4C09068E" w14:textId="77777777">
              <w:tc>
                <w:tcPr>
                  <w:tcW w:w="380" w:type="dxa"/>
                </w:tcPr>
                <w:p w14:paraId="7014946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08E82D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63D83B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0F3AE2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F6C9C0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4AAA98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236C35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9EFA60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9C1762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DDF33B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6D033D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C60E39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67B239BA" w14:textId="77777777">
              <w:tc>
                <w:tcPr>
                  <w:tcW w:w="380" w:type="dxa"/>
                </w:tcPr>
                <w:p w14:paraId="114D4D7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DA21DA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F57A14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FD3CB7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B31221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6F5BD5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C6DD5E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CB2C46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126391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2697A6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38A9B9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77FAA3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4032AE6A" w14:textId="77777777">
              <w:tc>
                <w:tcPr>
                  <w:tcW w:w="380" w:type="dxa"/>
                </w:tcPr>
                <w:p w14:paraId="3B5D796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C0810C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C79903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E9F797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7035CA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706B37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71F773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D2CEEB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FCEC0B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9C4FFD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5975AC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A83752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26A74FBC" w14:textId="77777777">
              <w:tc>
                <w:tcPr>
                  <w:tcW w:w="380" w:type="dxa"/>
                </w:tcPr>
                <w:p w14:paraId="7359F06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C68555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99FC89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1DF5A1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08F18C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CB5E1E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8A85EC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E495F9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FE53FD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8CF952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E99652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DCAC2FE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56F4F97F" w14:textId="77777777">
              <w:tc>
                <w:tcPr>
                  <w:tcW w:w="380" w:type="dxa"/>
                </w:tcPr>
                <w:p w14:paraId="7BAAA16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5BFE0E6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3C7AA11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4782C0E1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7E2E433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FD4854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709733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0960C4D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762C17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72A49D6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036D0C8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1F45F3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2EEBA3EA" w14:textId="77777777">
              <w:tc>
                <w:tcPr>
                  <w:tcW w:w="380" w:type="dxa"/>
                </w:tcPr>
                <w:p w14:paraId="0F14726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E75972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034CD2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4AEE8B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6521CFD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D2FBA3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B075F3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4DBAFC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AF2F1A7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52D92C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06385A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450A159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D4D12" w:rsidRPr="005E222B" w14:paraId="23537087" w14:textId="77777777">
              <w:tc>
                <w:tcPr>
                  <w:tcW w:w="380" w:type="dxa"/>
                </w:tcPr>
                <w:p w14:paraId="20FC2239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3B9B2DC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060F66B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17E3FDDB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0" w:type="dxa"/>
                </w:tcPr>
                <w:p w14:paraId="208E74B5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141FF56F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29176736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1DF4BD4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6E6CA2E2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58B1B203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3406FBE0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81" w:type="dxa"/>
                </w:tcPr>
                <w:p w14:paraId="0AF9919A" w14:textId="77777777" w:rsidR="00BD4D12" w:rsidRPr="005E222B" w:rsidRDefault="00BD4D12" w:rsidP="00402AFA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14:paraId="5310ABA1" w14:textId="77777777" w:rsidR="00BD4D12" w:rsidRPr="005E222B" w:rsidRDefault="00BD4D12" w:rsidP="00402AFA">
            <w:pPr>
              <w:rPr>
                <w:rFonts w:ascii="Garamond" w:hAnsi="Garamond"/>
              </w:rPr>
            </w:pPr>
          </w:p>
        </w:tc>
      </w:tr>
    </w:tbl>
    <w:p w14:paraId="1346972B" w14:textId="77777777" w:rsidR="005252D4" w:rsidRPr="005E222B" w:rsidRDefault="005252D4" w:rsidP="00402AFA">
      <w:pPr>
        <w:rPr>
          <w:rFonts w:ascii="Garamond" w:hAnsi="Garamond"/>
        </w:rPr>
      </w:pPr>
    </w:p>
    <w:p w14:paraId="16220FAF" w14:textId="77777777" w:rsidR="005252D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br w:type="page"/>
      </w:r>
      <w:r w:rsidRPr="005E222B">
        <w:rPr>
          <w:rFonts w:ascii="Garamond" w:hAnsi="Garamond"/>
        </w:rPr>
        <w:lastRenderedPageBreak/>
        <w:t>4. Indicate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whether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the following statements are true or false. (If false, make the necessary correction.)</w:t>
      </w:r>
    </w:p>
    <w:p w14:paraId="33C075DB" w14:textId="77777777" w:rsidR="005252D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a. The prime and retrograde-inversion have the same intervals in reverse order.</w:t>
      </w:r>
    </w:p>
    <w:p w14:paraId="79761EC2" w14:textId="77777777" w:rsidR="005252D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b.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The inversion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and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retrograde-inversion have complementary intervals in reverse order.</w:t>
      </w:r>
    </w:p>
    <w:p w14:paraId="4386EE44" w14:textId="77777777" w:rsidR="00E80074" w:rsidRPr="005E222B" w:rsidRDefault="00916A5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c</w:t>
      </w:r>
      <w:r w:rsidR="009E4C49" w:rsidRPr="005E222B">
        <w:rPr>
          <w:rFonts w:ascii="Garamond" w:hAnsi="Garamond"/>
        </w:rPr>
        <w:t>.</w:t>
      </w:r>
      <w:r w:rsidR="00402AFA" w:rsidRPr="005E222B">
        <w:rPr>
          <w:rFonts w:ascii="Garamond" w:hAnsi="Garamond"/>
        </w:rPr>
        <w:t xml:space="preserve"> </w:t>
      </w:r>
      <w:r w:rsidR="009E4C49" w:rsidRPr="005E222B">
        <w:rPr>
          <w:rFonts w:ascii="Garamond" w:hAnsi="Garamond"/>
        </w:rPr>
        <w:t>The retrograde</w:t>
      </w:r>
      <w:r w:rsidR="00402AFA" w:rsidRPr="005E222B">
        <w:rPr>
          <w:rFonts w:ascii="Garamond" w:hAnsi="Garamond"/>
        </w:rPr>
        <w:t xml:space="preserve"> </w:t>
      </w:r>
      <w:r w:rsidR="009E4C49" w:rsidRPr="005E222B">
        <w:rPr>
          <w:rFonts w:ascii="Garamond" w:hAnsi="Garamond"/>
        </w:rPr>
        <w:t>and inversion</w:t>
      </w:r>
      <w:r w:rsidR="00402AFA" w:rsidRPr="005E222B">
        <w:rPr>
          <w:rFonts w:ascii="Garamond" w:hAnsi="Garamond"/>
        </w:rPr>
        <w:t xml:space="preserve"> </w:t>
      </w:r>
      <w:r w:rsidR="009E4C49" w:rsidRPr="005E222B">
        <w:rPr>
          <w:rFonts w:ascii="Garamond" w:hAnsi="Garamond"/>
        </w:rPr>
        <w:t>have complementary intervals in the same order.</w:t>
      </w:r>
    </w:p>
    <w:p w14:paraId="2A6F6EDC" w14:textId="77777777" w:rsidR="005252D4" w:rsidRPr="005E222B" w:rsidRDefault="00E80074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br/>
      </w:r>
      <w:r w:rsidR="009E4C49" w:rsidRPr="005E222B">
        <w:rPr>
          <w:rFonts w:ascii="Garamond" w:hAnsi="Garamond"/>
        </w:rPr>
        <w:t>II</w:t>
      </w:r>
      <w:r w:rsidR="009E4C49" w:rsidRPr="003610CE">
        <w:rPr>
          <w:rFonts w:ascii="Garamond" w:hAnsi="Garamond"/>
          <w:i/>
          <w:iCs/>
        </w:rPr>
        <w:t xml:space="preserve">. </w:t>
      </w:r>
      <w:r w:rsidR="009E4C49" w:rsidRPr="003610CE">
        <w:rPr>
          <w:rFonts w:ascii="Garamond" w:hAnsi="Garamond"/>
          <w:b/>
          <w:bCs/>
          <w:i/>
          <w:iCs/>
        </w:rPr>
        <w:t>Subset Structure</w:t>
      </w:r>
      <w:r w:rsidR="009E4C49" w:rsidRPr="005E222B">
        <w:rPr>
          <w:rFonts w:ascii="Garamond" w:hAnsi="Garamond"/>
        </w:rPr>
        <w:t>: The constituent groupings within a series are its subsets.</w:t>
      </w:r>
    </w:p>
    <w:p w14:paraId="0FFCC4B1" w14:textId="77777777" w:rsidR="005252D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1. For each of the notated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series, identify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the set classes to which the following belong:</w:t>
      </w:r>
    </w:p>
    <w:p w14:paraId="6F127AD0" w14:textId="77777777" w:rsidR="00E8007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a. the discrete trichords</w:t>
      </w:r>
    </w:p>
    <w:p w14:paraId="32FE6677" w14:textId="77777777" w:rsidR="005252D4" w:rsidRPr="005E222B" w:rsidRDefault="00E80074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a.</w:t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  <w:t>b.</w:t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  <w:t>c.</w:t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  <w:t>d.</w:t>
      </w:r>
    </w:p>
    <w:p w14:paraId="64ADA218" w14:textId="77777777" w:rsidR="00E8007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b.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the discrete tetrachords</w:t>
      </w:r>
    </w:p>
    <w:p w14:paraId="74305BC4" w14:textId="77777777" w:rsidR="005252D4" w:rsidRPr="005E222B" w:rsidRDefault="00E80074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a.</w:t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  <w:t>b.</w:t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  <w:t>c.</w:t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  <w:t>d.</w:t>
      </w:r>
    </w:p>
    <w:p w14:paraId="7E3D615D" w14:textId="77777777" w:rsidR="00E8007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c. the discrete hexachords</w:t>
      </w:r>
    </w:p>
    <w:p w14:paraId="13CD3409" w14:textId="77777777" w:rsidR="005252D4" w:rsidRPr="005E222B" w:rsidRDefault="00E80074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a.</w:t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  <w:t>b.</w:t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  <w:t>c.</w:t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ab/>
        <w:t>d.</w:t>
      </w:r>
      <w:r w:rsidRPr="005E222B">
        <w:rPr>
          <w:rFonts w:ascii="Garamond" w:hAnsi="Garamond"/>
        </w:rPr>
        <w:br/>
      </w:r>
    </w:p>
    <w:p w14:paraId="4251EB80" w14:textId="77777777" w:rsidR="005252D4" w:rsidRPr="005E222B" w:rsidRDefault="004C7A8F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III</w:t>
      </w:r>
      <w:r w:rsidR="009E4C49" w:rsidRPr="005E222B">
        <w:rPr>
          <w:rFonts w:ascii="Garamond" w:hAnsi="Garamond"/>
        </w:rPr>
        <w:t xml:space="preserve">. </w:t>
      </w:r>
      <w:r w:rsidR="009E4C49" w:rsidRPr="003610CE">
        <w:rPr>
          <w:rFonts w:ascii="Garamond" w:hAnsi="Garamond"/>
          <w:b/>
          <w:bCs/>
          <w:i/>
          <w:iCs/>
        </w:rPr>
        <w:t>Invariants</w:t>
      </w:r>
      <w:r w:rsidR="009E4C49" w:rsidRPr="005E222B">
        <w:rPr>
          <w:rFonts w:ascii="Garamond" w:hAnsi="Garamond"/>
        </w:rPr>
        <w:t>: Any musical object or relationship preserved under some operation is an invariant.</w:t>
      </w:r>
    </w:p>
    <w:p w14:paraId="5BC46A1C" w14:textId="77777777" w:rsidR="005252D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1. For the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series from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Schoenberg's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String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Quartet No. 4,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(</w:t>
      </w:r>
      <w:r w:rsidR="00464546" w:rsidRPr="005E222B">
        <w:rPr>
          <w:rFonts w:ascii="Garamond" w:hAnsi="Garamond"/>
        </w:rPr>
        <w:t>D–</w:t>
      </w:r>
      <w:r w:rsidRPr="005E222B">
        <w:rPr>
          <w:rFonts w:ascii="Garamond" w:hAnsi="Garamond"/>
        </w:rPr>
        <w:t>C</w:t>
      </w:r>
      <w:r w:rsidR="004644CB" w:rsidRPr="005E222B">
        <w:rPr>
          <w:rFonts w:ascii="Garamond" w:hAnsi="Garamond"/>
          <w:vertAlign w:val="superscript"/>
        </w:rPr>
        <w:t>#</w:t>
      </w:r>
      <w:r w:rsidR="00464546" w:rsidRPr="005E222B">
        <w:rPr>
          <w:rFonts w:ascii="Garamond" w:hAnsi="Garamond"/>
        </w:rPr>
        <w:t>–</w:t>
      </w:r>
      <w:r w:rsidRPr="005E222B">
        <w:rPr>
          <w:rFonts w:ascii="Garamond" w:hAnsi="Garamond"/>
        </w:rPr>
        <w:t>A</w:t>
      </w:r>
      <w:r w:rsidR="00464546" w:rsidRPr="005E222B">
        <w:rPr>
          <w:rFonts w:ascii="Garamond" w:hAnsi="Garamond"/>
        </w:rPr>
        <w:t>–</w:t>
      </w:r>
      <w:r w:rsidRPr="005E222B">
        <w:rPr>
          <w:rFonts w:ascii="Garamond" w:hAnsi="Garamond"/>
        </w:rPr>
        <w:t>B</w:t>
      </w:r>
      <w:r w:rsidR="004644CB" w:rsidRPr="005E222B">
        <w:rPr>
          <w:rFonts w:ascii="Garamond" w:hAnsi="Garamond"/>
          <w:vertAlign w:val="superscript"/>
        </w:rPr>
        <w:t>b</w:t>
      </w:r>
      <w:r w:rsidR="00464546" w:rsidRPr="005E222B">
        <w:rPr>
          <w:rFonts w:ascii="Garamond" w:hAnsi="Garamond"/>
        </w:rPr>
        <w:t>–</w:t>
      </w:r>
      <w:r w:rsidRPr="005E222B">
        <w:rPr>
          <w:rFonts w:ascii="Garamond" w:hAnsi="Garamond"/>
        </w:rPr>
        <w:t>F</w:t>
      </w:r>
      <w:r w:rsidR="00464546" w:rsidRPr="005E222B">
        <w:rPr>
          <w:rFonts w:ascii="Garamond" w:hAnsi="Garamond"/>
        </w:rPr>
        <w:t>–E</w:t>
      </w:r>
      <w:r w:rsidR="004644CB" w:rsidRPr="005E222B">
        <w:rPr>
          <w:rFonts w:ascii="Garamond" w:hAnsi="Garamond"/>
          <w:vertAlign w:val="superscript"/>
        </w:rPr>
        <w:t>b</w:t>
      </w:r>
      <w:r w:rsidR="00464546" w:rsidRPr="005E222B">
        <w:rPr>
          <w:rFonts w:ascii="Garamond" w:hAnsi="Garamond"/>
        </w:rPr>
        <w:t>–</w:t>
      </w:r>
      <w:r w:rsidRPr="005E222B">
        <w:rPr>
          <w:rFonts w:ascii="Garamond" w:hAnsi="Garamond"/>
        </w:rPr>
        <w:t>E</w:t>
      </w:r>
      <w:r w:rsidR="00464546" w:rsidRPr="005E222B">
        <w:rPr>
          <w:rFonts w:ascii="Garamond" w:hAnsi="Garamond"/>
        </w:rPr>
        <w:t>–C–A</w:t>
      </w:r>
      <w:r w:rsidR="004644CB" w:rsidRPr="005E222B">
        <w:rPr>
          <w:rFonts w:ascii="Garamond" w:hAnsi="Garamond"/>
          <w:vertAlign w:val="superscript"/>
        </w:rPr>
        <w:t>b</w:t>
      </w:r>
      <w:r w:rsidR="00464546" w:rsidRPr="005E222B">
        <w:rPr>
          <w:rFonts w:ascii="Garamond" w:hAnsi="Garamond"/>
        </w:rPr>
        <w:t>–</w:t>
      </w:r>
      <w:r w:rsidRPr="005E222B">
        <w:rPr>
          <w:rFonts w:ascii="Garamond" w:hAnsi="Garamond"/>
        </w:rPr>
        <w:t>G</w:t>
      </w:r>
      <w:r w:rsidR="00464546" w:rsidRPr="005E222B">
        <w:rPr>
          <w:rFonts w:ascii="Garamond" w:hAnsi="Garamond"/>
        </w:rPr>
        <w:t>–</w:t>
      </w:r>
      <w:r w:rsidRPr="005E222B">
        <w:rPr>
          <w:rFonts w:ascii="Garamond" w:hAnsi="Garamond"/>
        </w:rPr>
        <w:t>F</w:t>
      </w:r>
      <w:r w:rsidR="004644CB" w:rsidRPr="005E222B">
        <w:rPr>
          <w:rFonts w:ascii="Garamond" w:hAnsi="Garamond"/>
          <w:vertAlign w:val="superscript"/>
        </w:rPr>
        <w:t>#</w:t>
      </w:r>
      <w:r w:rsidR="00464546" w:rsidRPr="005E222B">
        <w:rPr>
          <w:rFonts w:ascii="Garamond" w:hAnsi="Garamond"/>
        </w:rPr>
        <w:t>–</w:t>
      </w:r>
      <w:r w:rsidRPr="005E222B">
        <w:rPr>
          <w:rFonts w:ascii="Garamond" w:hAnsi="Garamond"/>
        </w:rPr>
        <w:t>B), identify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the series forms that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preserve the following segments:</w:t>
      </w:r>
    </w:p>
    <w:p w14:paraId="1927A17F" w14:textId="77777777" w:rsidR="00CF5312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a.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(G,</w:t>
      </w:r>
      <w:r w:rsidR="00CF5312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F</w:t>
      </w:r>
      <w:r w:rsidR="004644CB" w:rsidRPr="005E222B">
        <w:rPr>
          <w:rFonts w:ascii="Garamond" w:hAnsi="Garamond"/>
          <w:vertAlign w:val="superscript"/>
        </w:rPr>
        <w:t>#</w:t>
      </w:r>
      <w:r w:rsidRPr="005E222B">
        <w:rPr>
          <w:rFonts w:ascii="Garamond" w:hAnsi="Garamond"/>
        </w:rPr>
        <w:t>,</w:t>
      </w:r>
      <w:r w:rsidR="00CF5312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B)</w:t>
      </w:r>
      <w:r w:rsidR="00314900" w:rsidRPr="005E222B">
        <w:rPr>
          <w:rFonts w:ascii="Garamond" w:hAnsi="Garamond"/>
        </w:rPr>
        <w:tab/>
      </w:r>
      <w:r w:rsidR="00314900" w:rsidRPr="005E222B">
        <w:rPr>
          <w:rFonts w:ascii="Garamond" w:hAnsi="Garamond"/>
        </w:rPr>
        <w:tab/>
      </w:r>
      <w:r w:rsidR="00314900"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>b.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(B</w:t>
      </w:r>
      <w:r w:rsidR="004644CB" w:rsidRPr="005E222B">
        <w:rPr>
          <w:rFonts w:ascii="Garamond" w:hAnsi="Garamond"/>
          <w:vertAlign w:val="superscript"/>
        </w:rPr>
        <w:t>b</w:t>
      </w:r>
      <w:r w:rsidR="00CF5312" w:rsidRPr="005E222B">
        <w:rPr>
          <w:rFonts w:ascii="Garamond" w:hAnsi="Garamond"/>
        </w:rPr>
        <w:t>, F, E</w:t>
      </w:r>
      <w:r w:rsidR="004644CB" w:rsidRPr="005E222B">
        <w:rPr>
          <w:rFonts w:ascii="Garamond" w:hAnsi="Garamond"/>
          <w:vertAlign w:val="superscript"/>
        </w:rPr>
        <w:t>b</w:t>
      </w:r>
      <w:r w:rsidR="00CF5312" w:rsidRPr="005E222B">
        <w:rPr>
          <w:rFonts w:ascii="Garamond" w:hAnsi="Garamond"/>
        </w:rPr>
        <w:t>)</w:t>
      </w:r>
      <w:r w:rsidR="00314900" w:rsidRPr="005E222B">
        <w:rPr>
          <w:rFonts w:ascii="Garamond" w:hAnsi="Garamond"/>
        </w:rPr>
        <w:tab/>
      </w:r>
      <w:r w:rsidR="00314900" w:rsidRPr="005E222B">
        <w:rPr>
          <w:rFonts w:ascii="Garamond" w:hAnsi="Garamond"/>
        </w:rPr>
        <w:tab/>
      </w:r>
      <w:r w:rsidR="00314900" w:rsidRPr="005E222B">
        <w:rPr>
          <w:rFonts w:ascii="Garamond" w:hAnsi="Garamond"/>
        </w:rPr>
        <w:tab/>
      </w:r>
      <w:r w:rsidRPr="005E222B">
        <w:rPr>
          <w:rFonts w:ascii="Garamond" w:hAnsi="Garamond"/>
        </w:rPr>
        <w:t xml:space="preserve">c. </w:t>
      </w:r>
      <w:r w:rsidR="00CF5312" w:rsidRPr="005E222B">
        <w:rPr>
          <w:rFonts w:ascii="Garamond" w:hAnsi="Garamond"/>
        </w:rPr>
        <w:t>(D, C</w:t>
      </w:r>
      <w:r w:rsidR="004644CB" w:rsidRPr="005E222B">
        <w:rPr>
          <w:rFonts w:ascii="Garamond" w:hAnsi="Garamond"/>
          <w:vertAlign w:val="superscript"/>
        </w:rPr>
        <w:t>#</w:t>
      </w:r>
      <w:r w:rsidR="00CF5312" w:rsidRPr="005E222B">
        <w:rPr>
          <w:rFonts w:ascii="Garamond" w:hAnsi="Garamond"/>
        </w:rPr>
        <w:t>, A, B</w:t>
      </w:r>
      <w:r w:rsidR="004644CB" w:rsidRPr="005E222B">
        <w:rPr>
          <w:rFonts w:ascii="Garamond" w:hAnsi="Garamond"/>
          <w:vertAlign w:val="superscript"/>
        </w:rPr>
        <w:t>b</w:t>
      </w:r>
      <w:r w:rsidR="00CF5312" w:rsidRPr="005E222B">
        <w:rPr>
          <w:rFonts w:ascii="Garamond" w:hAnsi="Garamond"/>
        </w:rPr>
        <w:t>)</w:t>
      </w:r>
    </w:p>
    <w:p w14:paraId="377ABB46" w14:textId="77777777" w:rsidR="00F859AD" w:rsidRPr="005E222B" w:rsidRDefault="00F859AD" w:rsidP="00402AFA">
      <w:pPr>
        <w:rPr>
          <w:rFonts w:ascii="Garamond" w:hAnsi="Garamond"/>
        </w:rPr>
      </w:pPr>
    </w:p>
    <w:p w14:paraId="206B3924" w14:textId="77777777" w:rsidR="005252D4" w:rsidRPr="005E222B" w:rsidRDefault="005252D4" w:rsidP="00402AFA">
      <w:pPr>
        <w:rPr>
          <w:rFonts w:ascii="Garamond" w:hAnsi="Garamond"/>
        </w:rPr>
      </w:pPr>
    </w:p>
    <w:p w14:paraId="4C7BCFCD" w14:textId="77777777" w:rsidR="005252D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 xml:space="preserve">2. For the series from Webern's </w:t>
      </w:r>
      <w:r w:rsidRPr="005E222B">
        <w:rPr>
          <w:rFonts w:ascii="Garamond" w:hAnsi="Garamond"/>
          <w:i/>
        </w:rPr>
        <w:t>Concerto for Nine Instrume</w:t>
      </w:r>
      <w:r w:rsidR="00CF5312" w:rsidRPr="005E222B">
        <w:rPr>
          <w:rFonts w:ascii="Garamond" w:hAnsi="Garamond"/>
          <w:i/>
        </w:rPr>
        <w:t>nt</w:t>
      </w:r>
      <w:r w:rsidRPr="005E222B">
        <w:rPr>
          <w:rFonts w:ascii="Garamond" w:hAnsi="Garamond"/>
          <w:i/>
        </w:rPr>
        <w:t xml:space="preserve">s, </w:t>
      </w:r>
      <w:r w:rsidRPr="005E222B">
        <w:rPr>
          <w:rFonts w:ascii="Garamond" w:hAnsi="Garamond"/>
        </w:rPr>
        <w:t>op. 24, (G</w:t>
      </w:r>
      <w:r w:rsidR="00CF5312" w:rsidRPr="005E222B">
        <w:rPr>
          <w:rFonts w:ascii="Garamond" w:hAnsi="Garamond"/>
        </w:rPr>
        <w:t>–</w:t>
      </w:r>
      <w:r w:rsidRPr="005E222B">
        <w:rPr>
          <w:rFonts w:ascii="Garamond" w:hAnsi="Garamond"/>
        </w:rPr>
        <w:t>B</w:t>
      </w:r>
      <w:r w:rsidR="00CF5312" w:rsidRPr="005E222B">
        <w:rPr>
          <w:rFonts w:ascii="Garamond" w:hAnsi="Garamond"/>
        </w:rPr>
        <w:t>–</w:t>
      </w:r>
      <w:r w:rsidRPr="005E222B">
        <w:rPr>
          <w:rFonts w:ascii="Garamond" w:hAnsi="Garamond"/>
        </w:rPr>
        <w:t>B</w:t>
      </w:r>
      <w:r w:rsidR="004644CB" w:rsidRPr="005E222B">
        <w:rPr>
          <w:rFonts w:ascii="Garamond" w:hAnsi="Garamond"/>
          <w:vertAlign w:val="superscript"/>
        </w:rPr>
        <w:t>b</w:t>
      </w:r>
      <w:r w:rsidR="00CF5312" w:rsidRPr="005E222B">
        <w:rPr>
          <w:rFonts w:ascii="Garamond" w:hAnsi="Garamond"/>
        </w:rPr>
        <w:t>–E</w:t>
      </w:r>
      <w:r w:rsidR="004644CB" w:rsidRPr="005E222B">
        <w:rPr>
          <w:rFonts w:ascii="Garamond" w:hAnsi="Garamond"/>
          <w:vertAlign w:val="superscript"/>
        </w:rPr>
        <w:t>b</w:t>
      </w:r>
      <w:r w:rsidR="00CF5312" w:rsidRPr="005E222B">
        <w:rPr>
          <w:rFonts w:ascii="Garamond" w:hAnsi="Garamond"/>
        </w:rPr>
        <w:t>–</w:t>
      </w:r>
      <w:r w:rsidRPr="005E222B">
        <w:rPr>
          <w:rFonts w:ascii="Garamond" w:hAnsi="Garamond"/>
        </w:rPr>
        <w:t>D</w:t>
      </w:r>
      <w:r w:rsidR="00CF5312" w:rsidRPr="005E222B">
        <w:rPr>
          <w:rFonts w:ascii="Garamond" w:hAnsi="Garamond"/>
        </w:rPr>
        <w:t>–F</w:t>
      </w:r>
      <w:r w:rsidR="004644CB" w:rsidRPr="005E222B">
        <w:rPr>
          <w:rFonts w:ascii="Garamond" w:hAnsi="Garamond"/>
          <w:vertAlign w:val="superscript"/>
        </w:rPr>
        <w:t>#</w:t>
      </w:r>
      <w:r w:rsidR="00CF5312" w:rsidRPr="005E222B">
        <w:rPr>
          <w:rFonts w:ascii="Garamond" w:hAnsi="Garamond"/>
        </w:rPr>
        <w:t>–E–F–C</w:t>
      </w:r>
      <w:r w:rsidR="004644CB" w:rsidRPr="005E222B">
        <w:rPr>
          <w:rFonts w:ascii="Garamond" w:hAnsi="Garamond"/>
          <w:vertAlign w:val="superscript"/>
        </w:rPr>
        <w:t>#</w:t>
      </w:r>
      <w:r w:rsidR="00CF5312" w:rsidRPr="005E222B">
        <w:rPr>
          <w:rFonts w:ascii="Garamond" w:hAnsi="Garamond"/>
        </w:rPr>
        <w:t>–C–A</w:t>
      </w:r>
      <w:r w:rsidR="004644CB" w:rsidRPr="005E222B">
        <w:rPr>
          <w:rFonts w:ascii="Garamond" w:hAnsi="Garamond"/>
          <w:vertAlign w:val="superscript"/>
        </w:rPr>
        <w:t>b</w:t>
      </w:r>
      <w:r w:rsidR="00CF5312" w:rsidRPr="005E222B">
        <w:rPr>
          <w:rFonts w:ascii="Garamond" w:hAnsi="Garamond"/>
        </w:rPr>
        <w:t>–</w:t>
      </w:r>
      <w:r w:rsidRPr="005E222B">
        <w:rPr>
          <w:rFonts w:ascii="Garamond" w:hAnsi="Garamond"/>
        </w:rPr>
        <w:t>A),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identify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the series forms that preserve the discrete trichords.</w:t>
      </w:r>
    </w:p>
    <w:p w14:paraId="44DFCE61" w14:textId="77777777" w:rsidR="005252D4" w:rsidRPr="005E222B" w:rsidRDefault="005252D4" w:rsidP="00402AFA">
      <w:pPr>
        <w:rPr>
          <w:rFonts w:ascii="Garamond" w:hAnsi="Garamond"/>
        </w:rPr>
      </w:pPr>
    </w:p>
    <w:p w14:paraId="58FD3016" w14:textId="77777777" w:rsidR="006E6C25" w:rsidRPr="005E222B" w:rsidRDefault="006E6C25">
      <w:pPr>
        <w:rPr>
          <w:rFonts w:ascii="Garamond" w:hAnsi="Garamond"/>
        </w:rPr>
      </w:pPr>
      <w:r w:rsidRPr="005E222B">
        <w:rPr>
          <w:rFonts w:ascii="Garamond" w:hAnsi="Garamond"/>
        </w:rPr>
        <w:br w:type="page"/>
      </w:r>
    </w:p>
    <w:p w14:paraId="042A9576" w14:textId="77777777" w:rsidR="005252D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lastRenderedPageBreak/>
        <w:t>IV.</w:t>
      </w:r>
      <w:r w:rsidR="00402AFA" w:rsidRPr="005E222B">
        <w:rPr>
          <w:rFonts w:ascii="Garamond" w:hAnsi="Garamond"/>
        </w:rPr>
        <w:t xml:space="preserve"> </w:t>
      </w:r>
      <w:r w:rsidRPr="003610CE">
        <w:rPr>
          <w:rFonts w:ascii="Garamond" w:hAnsi="Garamond"/>
          <w:b/>
          <w:bCs/>
          <w:i/>
        </w:rPr>
        <w:t>Derivation</w:t>
      </w:r>
      <w:r w:rsidRPr="005E222B">
        <w:rPr>
          <w:rFonts w:ascii="Garamond" w:hAnsi="Garamond"/>
        </w:rPr>
        <w:t>: A derived series is one whose discrete segmental trichords or tetrachords are all members of the same set class.</w:t>
      </w:r>
    </w:p>
    <w:p w14:paraId="70B47EB2" w14:textId="77777777" w:rsidR="005252D4" w:rsidRPr="005E222B" w:rsidRDefault="009E4C49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1. The following series by Webern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are derived. Identif</w:t>
      </w:r>
      <w:r w:rsidR="00CF5312" w:rsidRPr="005E222B">
        <w:rPr>
          <w:rFonts w:ascii="Garamond" w:hAnsi="Garamond"/>
        </w:rPr>
        <w:t>y</w:t>
      </w:r>
      <w:r w:rsidRPr="005E222B">
        <w:rPr>
          <w:rFonts w:ascii="Garamond" w:hAnsi="Garamond"/>
        </w:rPr>
        <w:t xml:space="preserve"> the generating trichord</w:t>
      </w:r>
      <w:r w:rsidR="00402AFA" w:rsidRPr="005E222B">
        <w:rPr>
          <w:rFonts w:ascii="Garamond" w:hAnsi="Garamond"/>
        </w:rPr>
        <w:t xml:space="preserve"> </w:t>
      </w:r>
      <w:r w:rsidR="00CF5312" w:rsidRPr="005E222B">
        <w:rPr>
          <w:rFonts w:ascii="Garamond" w:hAnsi="Garamond"/>
        </w:rPr>
        <w:t>or tetra</w:t>
      </w:r>
      <w:r w:rsidRPr="005E222B">
        <w:rPr>
          <w:rFonts w:ascii="Garamond" w:hAnsi="Garamond"/>
        </w:rPr>
        <w:t>chord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and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the transformations (transposition, inversion,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retrograde)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that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connect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it with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the other segmental</w:t>
      </w:r>
      <w:r w:rsidR="00402AFA" w:rsidRPr="005E222B">
        <w:rPr>
          <w:rFonts w:ascii="Garamond" w:hAnsi="Garamond"/>
        </w:rPr>
        <w:t xml:space="preserve"> </w:t>
      </w:r>
      <w:r w:rsidRPr="005E222B">
        <w:rPr>
          <w:rFonts w:ascii="Garamond" w:hAnsi="Garamond"/>
        </w:rPr>
        <w:t>subsets of the series.</w:t>
      </w:r>
    </w:p>
    <w:p w14:paraId="576D60A8" w14:textId="77777777" w:rsidR="005252D4" w:rsidRPr="005E222B" w:rsidRDefault="009E4C49" w:rsidP="00402AFA">
      <w:pPr>
        <w:rPr>
          <w:rFonts w:ascii="Garamond" w:hAnsi="Garamond"/>
          <w:lang w:val="it-IT"/>
        </w:rPr>
      </w:pPr>
      <w:r w:rsidRPr="005E222B">
        <w:rPr>
          <w:rFonts w:ascii="Garamond" w:hAnsi="Garamond"/>
          <w:lang w:val="it-IT"/>
        </w:rPr>
        <w:t>a.</w:t>
      </w:r>
      <w:r w:rsidR="00402AFA" w:rsidRPr="005E222B">
        <w:rPr>
          <w:rFonts w:ascii="Garamond" w:hAnsi="Garamond"/>
          <w:lang w:val="it-IT"/>
        </w:rPr>
        <w:t xml:space="preserve"> </w:t>
      </w:r>
      <w:r w:rsidRPr="005E222B">
        <w:rPr>
          <w:rFonts w:ascii="Garamond" w:hAnsi="Garamond"/>
          <w:lang w:val="it-IT"/>
        </w:rPr>
        <w:t>C</w:t>
      </w:r>
      <w:r w:rsidR="004644CB" w:rsidRPr="005E222B">
        <w:rPr>
          <w:rFonts w:ascii="Garamond" w:hAnsi="Garamond"/>
          <w:vertAlign w:val="superscript"/>
          <w:lang w:val="it-IT"/>
        </w:rPr>
        <w:t>#</w:t>
      </w:r>
      <w:r w:rsidR="00CF5312" w:rsidRPr="005E222B">
        <w:rPr>
          <w:rFonts w:ascii="Garamond" w:hAnsi="Garamond"/>
          <w:lang w:val="it-IT"/>
        </w:rPr>
        <w:t>–</w:t>
      </w:r>
      <w:r w:rsidRPr="005E222B">
        <w:rPr>
          <w:rFonts w:ascii="Garamond" w:hAnsi="Garamond"/>
          <w:lang w:val="it-IT"/>
        </w:rPr>
        <w:t>C</w:t>
      </w:r>
      <w:r w:rsidR="00CF5312" w:rsidRPr="005E222B">
        <w:rPr>
          <w:rFonts w:ascii="Garamond" w:hAnsi="Garamond"/>
          <w:lang w:val="it-IT"/>
        </w:rPr>
        <w:t>–</w:t>
      </w:r>
      <w:proofErr w:type="spellStart"/>
      <w:r w:rsidR="004644CB" w:rsidRPr="005E222B">
        <w:rPr>
          <w:rFonts w:ascii="Garamond" w:hAnsi="Garamond"/>
          <w:lang w:val="it-IT"/>
        </w:rPr>
        <w:t>E</w:t>
      </w:r>
      <w:r w:rsidR="004644CB" w:rsidRPr="005E222B">
        <w:rPr>
          <w:rFonts w:ascii="Garamond" w:hAnsi="Garamond"/>
          <w:vertAlign w:val="superscript"/>
          <w:lang w:val="it-IT"/>
        </w:rPr>
        <w:t>b</w:t>
      </w:r>
      <w:proofErr w:type="spellEnd"/>
      <w:r w:rsidR="004644CB" w:rsidRPr="005E222B">
        <w:rPr>
          <w:rFonts w:ascii="Garamond" w:hAnsi="Garamond"/>
          <w:lang w:val="it-IT"/>
        </w:rPr>
        <w:t>–D–F</w:t>
      </w:r>
      <w:r w:rsidR="004644CB" w:rsidRPr="005E222B">
        <w:rPr>
          <w:rFonts w:ascii="Garamond" w:hAnsi="Garamond"/>
          <w:vertAlign w:val="superscript"/>
          <w:lang w:val="it-IT"/>
        </w:rPr>
        <w:t>#</w:t>
      </w:r>
      <w:r w:rsidR="004644CB" w:rsidRPr="005E222B">
        <w:rPr>
          <w:rFonts w:ascii="Garamond" w:hAnsi="Garamond"/>
          <w:lang w:val="it-IT"/>
        </w:rPr>
        <w:t>–G–E–F–A–A</w:t>
      </w:r>
      <w:r w:rsidR="004644CB" w:rsidRPr="005E222B">
        <w:rPr>
          <w:rFonts w:ascii="Garamond" w:hAnsi="Garamond"/>
          <w:vertAlign w:val="superscript"/>
          <w:lang w:val="it-IT"/>
        </w:rPr>
        <w:t>b</w:t>
      </w:r>
      <w:r w:rsidR="004644CB" w:rsidRPr="005E222B">
        <w:rPr>
          <w:rFonts w:ascii="Garamond" w:hAnsi="Garamond"/>
          <w:lang w:val="it-IT"/>
        </w:rPr>
        <w:t>–B–</w:t>
      </w:r>
      <w:proofErr w:type="spellStart"/>
      <w:r w:rsidR="004644CB" w:rsidRPr="005E222B">
        <w:rPr>
          <w:rFonts w:ascii="Garamond" w:hAnsi="Garamond"/>
          <w:lang w:val="it-IT"/>
        </w:rPr>
        <w:t>B</w:t>
      </w:r>
      <w:r w:rsidR="004644CB" w:rsidRPr="005E222B">
        <w:rPr>
          <w:rFonts w:ascii="Garamond" w:hAnsi="Garamond"/>
          <w:vertAlign w:val="superscript"/>
          <w:lang w:val="it-IT"/>
        </w:rPr>
        <w:t>b</w:t>
      </w:r>
      <w:proofErr w:type="spellEnd"/>
      <w:r w:rsidR="004644CB" w:rsidRPr="005E222B">
        <w:rPr>
          <w:rFonts w:ascii="Garamond" w:hAnsi="Garamond"/>
          <w:lang w:val="it-IT"/>
        </w:rPr>
        <w:tab/>
      </w:r>
      <w:r w:rsidRPr="005E222B">
        <w:rPr>
          <w:rFonts w:ascii="Garamond" w:hAnsi="Garamond"/>
          <w:lang w:val="it-IT"/>
        </w:rPr>
        <w:t>(</w:t>
      </w:r>
      <w:proofErr w:type="spellStart"/>
      <w:r w:rsidRPr="005E222B">
        <w:rPr>
          <w:rFonts w:ascii="Garamond" w:hAnsi="Garamond"/>
          <w:lang w:val="it-IT"/>
        </w:rPr>
        <w:t>String</w:t>
      </w:r>
      <w:proofErr w:type="spellEnd"/>
      <w:r w:rsidRPr="005E222B">
        <w:rPr>
          <w:rFonts w:ascii="Garamond" w:hAnsi="Garamond"/>
          <w:lang w:val="it-IT"/>
        </w:rPr>
        <w:t xml:space="preserve"> Quartet, op. 28)</w:t>
      </w:r>
    </w:p>
    <w:p w14:paraId="1A21FFC0" w14:textId="77777777" w:rsidR="006E6C25" w:rsidRPr="005E222B" w:rsidRDefault="009E4C49" w:rsidP="00402AFA">
      <w:pPr>
        <w:rPr>
          <w:rFonts w:ascii="Garamond" w:hAnsi="Garamond"/>
          <w:lang w:val="it-IT"/>
        </w:rPr>
      </w:pPr>
      <w:r w:rsidRPr="005E222B">
        <w:rPr>
          <w:rFonts w:ascii="Garamond" w:hAnsi="Garamond"/>
          <w:lang w:val="it-IT"/>
        </w:rPr>
        <w:t>b.</w:t>
      </w:r>
      <w:r w:rsidR="00402AFA" w:rsidRPr="005E222B">
        <w:rPr>
          <w:rFonts w:ascii="Garamond" w:hAnsi="Garamond"/>
          <w:lang w:val="it-IT"/>
        </w:rPr>
        <w:t xml:space="preserve"> </w:t>
      </w:r>
      <w:proofErr w:type="spellStart"/>
      <w:r w:rsidR="004644CB" w:rsidRPr="005E222B">
        <w:rPr>
          <w:rFonts w:ascii="Garamond" w:hAnsi="Garamond"/>
          <w:lang w:val="it-IT"/>
        </w:rPr>
        <w:t>E</w:t>
      </w:r>
      <w:r w:rsidR="004644CB" w:rsidRPr="005E222B">
        <w:rPr>
          <w:rFonts w:ascii="Garamond" w:hAnsi="Garamond"/>
          <w:vertAlign w:val="superscript"/>
          <w:lang w:val="it-IT"/>
        </w:rPr>
        <w:t>b</w:t>
      </w:r>
      <w:proofErr w:type="spellEnd"/>
      <w:r w:rsidR="00CF5312" w:rsidRPr="005E222B">
        <w:rPr>
          <w:rFonts w:ascii="Garamond" w:hAnsi="Garamond"/>
          <w:lang w:val="it-IT"/>
        </w:rPr>
        <w:t>–</w:t>
      </w:r>
      <w:r w:rsidRPr="005E222B">
        <w:rPr>
          <w:rFonts w:ascii="Garamond" w:hAnsi="Garamond"/>
          <w:lang w:val="it-IT"/>
        </w:rPr>
        <w:t>B</w:t>
      </w:r>
      <w:r w:rsidR="00CF5312" w:rsidRPr="005E222B">
        <w:rPr>
          <w:rFonts w:ascii="Garamond" w:hAnsi="Garamond"/>
          <w:lang w:val="it-IT"/>
        </w:rPr>
        <w:t>–</w:t>
      </w:r>
      <w:r w:rsidR="004644CB" w:rsidRPr="005E222B">
        <w:rPr>
          <w:rFonts w:ascii="Garamond" w:hAnsi="Garamond"/>
          <w:lang w:val="it-IT"/>
        </w:rPr>
        <w:t>D–C</w:t>
      </w:r>
      <w:r w:rsidR="004644CB" w:rsidRPr="005E222B">
        <w:rPr>
          <w:rFonts w:ascii="Garamond" w:hAnsi="Garamond"/>
          <w:vertAlign w:val="superscript"/>
          <w:lang w:val="it-IT"/>
        </w:rPr>
        <w:t>#</w:t>
      </w:r>
      <w:r w:rsidR="004644CB" w:rsidRPr="005E222B">
        <w:rPr>
          <w:rFonts w:ascii="Garamond" w:hAnsi="Garamond"/>
          <w:lang w:val="it-IT"/>
        </w:rPr>
        <w:t>–F–E–G–F</w:t>
      </w:r>
      <w:r w:rsidR="004644CB" w:rsidRPr="005E222B">
        <w:rPr>
          <w:rFonts w:ascii="Garamond" w:hAnsi="Garamond"/>
          <w:vertAlign w:val="superscript"/>
          <w:lang w:val="it-IT"/>
        </w:rPr>
        <w:t>#</w:t>
      </w:r>
      <w:r w:rsidR="004644CB" w:rsidRPr="005E222B">
        <w:rPr>
          <w:rFonts w:ascii="Garamond" w:hAnsi="Garamond"/>
          <w:lang w:val="it-IT"/>
        </w:rPr>
        <w:t>–</w:t>
      </w:r>
      <w:proofErr w:type="spellStart"/>
      <w:r w:rsidR="004644CB" w:rsidRPr="005E222B">
        <w:rPr>
          <w:rFonts w:ascii="Garamond" w:hAnsi="Garamond"/>
          <w:lang w:val="it-IT"/>
        </w:rPr>
        <w:t>B</w:t>
      </w:r>
      <w:r w:rsidR="004644CB" w:rsidRPr="005E222B">
        <w:rPr>
          <w:rFonts w:ascii="Garamond" w:hAnsi="Garamond"/>
          <w:vertAlign w:val="superscript"/>
          <w:lang w:val="it-IT"/>
        </w:rPr>
        <w:t>b</w:t>
      </w:r>
      <w:proofErr w:type="spellEnd"/>
      <w:r w:rsidR="00A64367" w:rsidRPr="005E222B">
        <w:rPr>
          <w:rFonts w:ascii="Garamond" w:hAnsi="Garamond"/>
          <w:lang w:val="it-IT"/>
        </w:rPr>
        <w:t>–</w:t>
      </w:r>
      <w:r w:rsidR="004644CB" w:rsidRPr="005E222B">
        <w:rPr>
          <w:rFonts w:ascii="Garamond" w:hAnsi="Garamond"/>
          <w:lang w:val="it-IT"/>
        </w:rPr>
        <w:t>A–C–A</w:t>
      </w:r>
      <w:r w:rsidR="004644CB" w:rsidRPr="005E222B">
        <w:rPr>
          <w:rFonts w:ascii="Garamond" w:hAnsi="Garamond"/>
          <w:vertAlign w:val="superscript"/>
          <w:lang w:val="it-IT"/>
        </w:rPr>
        <w:t>b</w:t>
      </w:r>
      <w:r w:rsidR="004644CB" w:rsidRPr="005E222B">
        <w:rPr>
          <w:rFonts w:ascii="Garamond" w:hAnsi="Garamond"/>
          <w:lang w:val="it-IT"/>
        </w:rPr>
        <w:t xml:space="preserve"> </w:t>
      </w:r>
      <w:r w:rsidR="004644CB" w:rsidRPr="005E222B">
        <w:rPr>
          <w:rFonts w:ascii="Garamond" w:hAnsi="Garamond"/>
          <w:lang w:val="it-IT"/>
        </w:rPr>
        <w:tab/>
      </w:r>
      <w:r w:rsidRPr="005E222B">
        <w:rPr>
          <w:rFonts w:ascii="Garamond" w:hAnsi="Garamond"/>
          <w:lang w:val="it-IT"/>
        </w:rPr>
        <w:t>(Cantata I, op. 29)</w:t>
      </w:r>
    </w:p>
    <w:p w14:paraId="255D1FC0" w14:textId="77777777" w:rsidR="006E6C25" w:rsidRPr="005E222B" w:rsidRDefault="006E6C25" w:rsidP="00402AFA">
      <w:pPr>
        <w:rPr>
          <w:rFonts w:ascii="Garamond" w:hAnsi="Garamond"/>
          <w:lang w:val="it-IT"/>
        </w:rPr>
      </w:pPr>
    </w:p>
    <w:p w14:paraId="0097C8AB" w14:textId="1CF58CAA" w:rsidR="00C83CE8" w:rsidRPr="005E222B" w:rsidRDefault="000D3067" w:rsidP="00402AFA">
      <w:pPr>
        <w:rPr>
          <w:rFonts w:ascii="Garamond" w:hAnsi="Garamond"/>
        </w:rPr>
      </w:pPr>
      <w:r w:rsidRPr="005E222B">
        <w:rPr>
          <w:rFonts w:ascii="Garamond" w:hAnsi="Garamond"/>
          <w:b/>
          <w:lang w:val="de-DE"/>
        </w:rPr>
        <w:t>Analysis</w:t>
      </w:r>
      <w:r w:rsidRPr="005E222B">
        <w:rPr>
          <w:rFonts w:ascii="Garamond" w:hAnsi="Garamond"/>
          <w:lang w:val="de-DE"/>
        </w:rPr>
        <w:t>.</w:t>
      </w:r>
      <w:r w:rsidR="00974D69" w:rsidRPr="005E222B">
        <w:rPr>
          <w:rFonts w:ascii="Garamond" w:hAnsi="Garamond"/>
          <w:lang w:val="de-DE"/>
        </w:rPr>
        <w:t xml:space="preserve"> </w:t>
      </w:r>
      <w:r w:rsidR="007810C3" w:rsidRPr="005E222B">
        <w:rPr>
          <w:rFonts w:ascii="Garamond" w:hAnsi="Garamond"/>
        </w:rPr>
        <w:t>Elisabeth Lutyens</w:t>
      </w:r>
      <w:r w:rsidRPr="005E222B">
        <w:rPr>
          <w:rFonts w:ascii="Garamond" w:hAnsi="Garamond"/>
        </w:rPr>
        <w:t xml:space="preserve">, </w:t>
      </w:r>
      <w:r w:rsidR="007810C3" w:rsidRPr="005E222B">
        <w:rPr>
          <w:rFonts w:ascii="Garamond" w:hAnsi="Garamond"/>
        </w:rPr>
        <w:t>Motet</w:t>
      </w:r>
      <w:r w:rsidR="005E222B" w:rsidRPr="005E222B">
        <w:rPr>
          <w:rFonts w:ascii="Garamond" w:hAnsi="Garamond"/>
        </w:rPr>
        <w:t xml:space="preserve"> Op. 27</w:t>
      </w:r>
      <w:r w:rsidR="007810C3" w:rsidRPr="005E222B">
        <w:rPr>
          <w:rFonts w:ascii="Garamond" w:hAnsi="Garamond"/>
        </w:rPr>
        <w:t xml:space="preserve">, from Wittgenstein’s </w:t>
      </w:r>
      <w:proofErr w:type="spellStart"/>
      <w:r w:rsidR="007810C3" w:rsidRPr="005E222B">
        <w:rPr>
          <w:rFonts w:ascii="Garamond" w:hAnsi="Garamond"/>
          <w:i/>
          <w:iCs/>
        </w:rPr>
        <w:t>Tractatus</w:t>
      </w:r>
      <w:proofErr w:type="spellEnd"/>
      <w:r w:rsidR="007810C3" w:rsidRPr="005E222B">
        <w:rPr>
          <w:rFonts w:ascii="Garamond" w:hAnsi="Garamond"/>
          <w:i/>
          <w:iCs/>
        </w:rPr>
        <w:t xml:space="preserve"> Logic-</w:t>
      </w:r>
      <w:proofErr w:type="spellStart"/>
      <w:r w:rsidR="007810C3" w:rsidRPr="005E222B">
        <w:rPr>
          <w:rFonts w:ascii="Garamond" w:hAnsi="Garamond"/>
          <w:i/>
          <w:iCs/>
        </w:rPr>
        <w:t>Philosophicus</w:t>
      </w:r>
      <w:proofErr w:type="spellEnd"/>
      <w:r w:rsidR="007810C3" w:rsidRPr="005E222B">
        <w:rPr>
          <w:rFonts w:ascii="Garamond" w:hAnsi="Garamond"/>
        </w:rPr>
        <w:t xml:space="preserve"> </w:t>
      </w:r>
      <w:r w:rsidR="003B1F24" w:rsidRPr="005E222B">
        <w:rPr>
          <w:rFonts w:ascii="Garamond" w:hAnsi="Garamond"/>
        </w:rPr>
        <w:t>(25%)</w:t>
      </w:r>
    </w:p>
    <w:p w14:paraId="44B5D923" w14:textId="380C4B25" w:rsidR="005E222B" w:rsidRPr="005E222B" w:rsidRDefault="005E222B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Listen to this piece here (</w:t>
      </w:r>
      <w:proofErr w:type="spellStart"/>
      <w:r w:rsidRPr="005E222B">
        <w:rPr>
          <w:rFonts w:ascii="Garamond" w:hAnsi="Garamond"/>
        </w:rPr>
        <w:fldChar w:fldCharType="begin"/>
      </w:r>
      <w:r w:rsidRPr="005E222B">
        <w:rPr>
          <w:rFonts w:ascii="Garamond" w:hAnsi="Garamond"/>
        </w:rPr>
        <w:instrText>HYPERLINK "https://www.youtube.com/watch?v=R1f4-iPjYqg"</w:instrText>
      </w:r>
      <w:r w:rsidRPr="005E222B">
        <w:rPr>
          <w:rFonts w:ascii="Garamond" w:hAnsi="Garamond"/>
        </w:rPr>
      </w:r>
      <w:r w:rsidRPr="005E222B">
        <w:rPr>
          <w:rFonts w:ascii="Garamond" w:hAnsi="Garamond"/>
        </w:rPr>
        <w:fldChar w:fldCharType="separate"/>
      </w:r>
      <w:r w:rsidRPr="005E222B">
        <w:rPr>
          <w:rStyle w:val="Hyperlink"/>
          <w:rFonts w:ascii="Garamond" w:hAnsi="Garamond"/>
        </w:rPr>
        <w:t>youtube</w:t>
      </w:r>
      <w:proofErr w:type="spellEnd"/>
      <w:r w:rsidRPr="005E222B">
        <w:rPr>
          <w:rStyle w:val="Hyperlink"/>
          <w:rFonts w:ascii="Garamond" w:hAnsi="Garamond"/>
        </w:rPr>
        <w:t xml:space="preserve"> link</w:t>
      </w:r>
      <w:r w:rsidRPr="005E222B">
        <w:rPr>
          <w:rFonts w:ascii="Garamond" w:hAnsi="Garamond"/>
        </w:rPr>
        <w:fldChar w:fldCharType="end"/>
      </w:r>
      <w:r w:rsidRPr="005E222B">
        <w:rPr>
          <w:rFonts w:ascii="Garamond" w:hAnsi="Garamond"/>
        </w:rPr>
        <w:t>)</w:t>
      </w:r>
    </w:p>
    <w:p w14:paraId="46664854" w14:textId="0198ED43" w:rsidR="005E222B" w:rsidRPr="005E222B" w:rsidRDefault="005E222B" w:rsidP="00402AFA">
      <w:pPr>
        <w:rPr>
          <w:rFonts w:ascii="Garamond" w:hAnsi="Garamond"/>
        </w:rPr>
      </w:pPr>
      <w:r w:rsidRPr="005E222B">
        <w:rPr>
          <w:rFonts w:ascii="Garamond" w:hAnsi="Garamond"/>
        </w:rPr>
        <w:t>Text of excerpt: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8"/>
        <w:gridCol w:w="4798"/>
      </w:tblGrid>
      <w:tr w:rsidR="005E222B" w:rsidRPr="005E222B" w14:paraId="1B03C32A" w14:textId="77777777" w:rsidTr="005E222B">
        <w:tc>
          <w:tcPr>
            <w:tcW w:w="4798" w:type="dxa"/>
          </w:tcPr>
          <w:p w14:paraId="54B86D57" w14:textId="6CC7E53E" w:rsidR="005E222B" w:rsidRPr="005E222B" w:rsidRDefault="005E222B" w:rsidP="005E222B">
            <w:pPr>
              <w:rPr>
                <w:rFonts w:ascii="Garamond" w:hAnsi="Garamond"/>
                <w:lang w:val="de-DE"/>
              </w:rPr>
            </w:pPr>
            <w:r w:rsidRPr="005E222B">
              <w:rPr>
                <w:rFonts w:ascii="Garamond" w:hAnsi="Garamond"/>
                <w:lang w:val="de-DE"/>
              </w:rPr>
              <w:t xml:space="preserve">1. Die Welt ist </w:t>
            </w:r>
            <w:proofErr w:type="spellStart"/>
            <w:r w:rsidRPr="005E222B">
              <w:rPr>
                <w:rFonts w:ascii="Garamond" w:hAnsi="Garamond"/>
                <w:lang w:val="de-DE"/>
              </w:rPr>
              <w:t>allés</w:t>
            </w:r>
            <w:proofErr w:type="spellEnd"/>
            <w:r w:rsidRPr="005E222B">
              <w:rPr>
                <w:rFonts w:ascii="Garamond" w:hAnsi="Garamond"/>
                <w:lang w:val="de-DE"/>
              </w:rPr>
              <w:t>, was der Fall ist.</w:t>
            </w:r>
          </w:p>
          <w:p w14:paraId="42478AC2" w14:textId="7F8BFB7C" w:rsidR="005E222B" w:rsidRPr="005E222B" w:rsidRDefault="005E222B" w:rsidP="005E222B">
            <w:pPr>
              <w:rPr>
                <w:rFonts w:ascii="Garamond" w:hAnsi="Garamond"/>
                <w:lang w:val="de-DE"/>
              </w:rPr>
            </w:pPr>
            <w:r w:rsidRPr="005E222B">
              <w:rPr>
                <w:rFonts w:ascii="Garamond" w:hAnsi="Garamond"/>
                <w:lang w:val="de-DE"/>
              </w:rPr>
              <w:t>1.1 Die Welt ist die Gesamtheit der Tatsachen. ...</w:t>
            </w:r>
          </w:p>
          <w:p w14:paraId="3B5333FE" w14:textId="046F22AF" w:rsidR="005E222B" w:rsidRPr="005E222B" w:rsidRDefault="005E222B" w:rsidP="005E222B">
            <w:pPr>
              <w:rPr>
                <w:rFonts w:ascii="Garamond" w:hAnsi="Garamond"/>
                <w:lang w:val="de-DE"/>
              </w:rPr>
            </w:pPr>
            <w:r w:rsidRPr="005E222B">
              <w:rPr>
                <w:rFonts w:ascii="Garamond" w:hAnsi="Garamond"/>
                <w:lang w:val="de-DE"/>
              </w:rPr>
              <w:t>1.13 Die Tatsachen im logischen Raum sind die Welt.</w:t>
            </w:r>
          </w:p>
        </w:tc>
        <w:tc>
          <w:tcPr>
            <w:tcW w:w="4798" w:type="dxa"/>
          </w:tcPr>
          <w:p w14:paraId="16DFDA53" w14:textId="14A2C7A4" w:rsidR="005E222B" w:rsidRPr="005E222B" w:rsidRDefault="005E222B" w:rsidP="005E222B">
            <w:pPr>
              <w:widowControl/>
              <w:autoSpaceDE w:val="0"/>
              <w:autoSpaceDN w:val="0"/>
              <w:adjustRightInd w:val="0"/>
              <w:rPr>
                <w:rFonts w:ascii="Garamond" w:hAnsi="Garamond" w:cs="Times-Roman"/>
              </w:rPr>
            </w:pPr>
            <w:r w:rsidRPr="005E222B">
              <w:rPr>
                <w:rFonts w:ascii="Garamond" w:hAnsi="Garamond" w:cs="Times-Roman"/>
              </w:rPr>
              <w:t>1. The world is all that is the case.</w:t>
            </w:r>
          </w:p>
          <w:p w14:paraId="24C74EBD" w14:textId="77777777" w:rsidR="005E222B" w:rsidRPr="005E222B" w:rsidRDefault="005E222B" w:rsidP="005E222B">
            <w:pPr>
              <w:widowControl/>
              <w:autoSpaceDE w:val="0"/>
              <w:autoSpaceDN w:val="0"/>
              <w:adjustRightInd w:val="0"/>
              <w:rPr>
                <w:rFonts w:ascii="Garamond" w:hAnsi="Garamond" w:cs="Times-Roman"/>
              </w:rPr>
            </w:pPr>
            <w:r w:rsidRPr="005E222B">
              <w:rPr>
                <w:rFonts w:ascii="Garamond" w:hAnsi="Garamond" w:cs="Times-Roman"/>
              </w:rPr>
              <w:t>1.1 The world is the totality of facts. ...</w:t>
            </w:r>
          </w:p>
          <w:p w14:paraId="01FE7CBB" w14:textId="0D245F10" w:rsidR="005E222B" w:rsidRPr="005E222B" w:rsidRDefault="005E222B" w:rsidP="005E222B">
            <w:pPr>
              <w:rPr>
                <w:rFonts w:ascii="Garamond" w:hAnsi="Garamond"/>
              </w:rPr>
            </w:pPr>
            <w:r w:rsidRPr="005E222B">
              <w:rPr>
                <w:rFonts w:ascii="Garamond" w:hAnsi="Garamond" w:cs="Times-Roman"/>
              </w:rPr>
              <w:t>1.13 Facts in logical space are the world.</w:t>
            </w:r>
          </w:p>
        </w:tc>
      </w:tr>
    </w:tbl>
    <w:p w14:paraId="4D06876B" w14:textId="77777777" w:rsidR="005E222B" w:rsidRPr="005E222B" w:rsidRDefault="005E222B" w:rsidP="00402AFA">
      <w:pPr>
        <w:rPr>
          <w:rFonts w:ascii="Garamond" w:hAnsi="Garamond"/>
        </w:rPr>
      </w:pPr>
    </w:p>
    <w:p w14:paraId="7E127BA9" w14:textId="6C15B3BB" w:rsidR="007810C3" w:rsidRPr="005E222B" w:rsidRDefault="00A64367" w:rsidP="00A80F1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t xml:space="preserve">1. </w:t>
      </w:r>
      <w:r w:rsidR="00C83CE8" w:rsidRPr="005E222B">
        <w:rPr>
          <w:rFonts w:ascii="Garamond" w:hAnsi="Garamond" w:cs="Times New Roman"/>
          <w:szCs w:val="18"/>
        </w:rPr>
        <w:t xml:space="preserve">Take the </w:t>
      </w:r>
      <w:r w:rsidR="007810C3" w:rsidRPr="005E222B">
        <w:rPr>
          <w:rFonts w:ascii="Garamond" w:hAnsi="Garamond" w:cs="Times New Roman"/>
          <w:szCs w:val="18"/>
        </w:rPr>
        <w:t xml:space="preserve">following </w:t>
      </w:r>
      <w:r w:rsidR="00C83CE8" w:rsidRPr="005E222B">
        <w:rPr>
          <w:rFonts w:ascii="Garamond" w:hAnsi="Garamond" w:cs="Times New Roman"/>
          <w:szCs w:val="18"/>
        </w:rPr>
        <w:t xml:space="preserve">as the twelve-tone </w:t>
      </w:r>
      <w:r w:rsidR="007810C3" w:rsidRPr="005E222B">
        <w:rPr>
          <w:rFonts w:ascii="Garamond" w:hAnsi="Garamond" w:cs="Times New Roman"/>
          <w:szCs w:val="18"/>
        </w:rPr>
        <w:t xml:space="preserve">reference </w:t>
      </w:r>
      <w:r w:rsidR="00C83CE8" w:rsidRPr="005E222B">
        <w:rPr>
          <w:rFonts w:ascii="Garamond" w:hAnsi="Garamond" w:cs="Times New Roman"/>
          <w:szCs w:val="18"/>
        </w:rPr>
        <w:t>series for the piece</w:t>
      </w:r>
      <w:r w:rsidR="007810C3" w:rsidRPr="005E222B">
        <w:rPr>
          <w:rFonts w:ascii="Garamond" w:hAnsi="Garamond" w:cs="Times New Roman"/>
          <w:szCs w:val="18"/>
        </w:rPr>
        <w:t>, broken up into hexachords</w:t>
      </w:r>
      <w:r w:rsidR="00C83CE8" w:rsidRPr="005E222B">
        <w:rPr>
          <w:rFonts w:ascii="Garamond" w:hAnsi="Garamond" w:cs="Times New Roman"/>
          <w:szCs w:val="18"/>
        </w:rPr>
        <w:t>: P</w:t>
      </w:r>
      <w:r w:rsidR="007810C3" w:rsidRPr="005E222B">
        <w:rPr>
          <w:rFonts w:ascii="Garamond" w:hAnsi="Garamond" w:cs="Times New Roman"/>
          <w:szCs w:val="13"/>
          <w:vertAlign w:val="subscript"/>
        </w:rPr>
        <w:t>2</w:t>
      </w:r>
      <w:r w:rsidR="00C83CE8" w:rsidRPr="005E222B">
        <w:rPr>
          <w:rFonts w:ascii="Garamond" w:hAnsi="Garamond" w:cs="Times New Roman"/>
          <w:szCs w:val="13"/>
        </w:rPr>
        <w:t xml:space="preserve"> </w:t>
      </w:r>
      <w:r w:rsidR="00C83CE8" w:rsidRPr="005E222B">
        <w:rPr>
          <w:rFonts w:ascii="Garamond" w:hAnsi="Garamond" w:cs="Times New Roman"/>
          <w:szCs w:val="23"/>
        </w:rPr>
        <w:t>=</w:t>
      </w:r>
      <w:r w:rsidR="00974D69" w:rsidRPr="005E222B">
        <w:rPr>
          <w:rFonts w:ascii="Garamond" w:hAnsi="Garamond" w:cs="Times New Roman"/>
          <w:szCs w:val="23"/>
        </w:rPr>
        <w:t xml:space="preserve"> </w:t>
      </w:r>
      <w:r w:rsidR="007810C3" w:rsidRPr="005E222B">
        <w:rPr>
          <w:rFonts w:ascii="Garamond" w:hAnsi="Garamond" w:cs="Times New Roman"/>
          <w:szCs w:val="18"/>
        </w:rPr>
        <w:t>D</w:t>
      </w:r>
      <w:r w:rsidR="00974D69" w:rsidRPr="005E222B">
        <w:rPr>
          <w:rFonts w:ascii="Garamond" w:hAnsi="Garamond" w:cs="Times New Roman"/>
          <w:szCs w:val="18"/>
        </w:rPr>
        <w:t>–</w:t>
      </w:r>
      <w:r w:rsidR="007810C3" w:rsidRPr="005E222B">
        <w:rPr>
          <w:rFonts w:ascii="Garamond" w:hAnsi="Garamond" w:cs="Times New Roman"/>
          <w:szCs w:val="18"/>
        </w:rPr>
        <w:t>D</w:t>
      </w:r>
      <w:r w:rsidR="007810C3" w:rsidRPr="005E222B">
        <w:rPr>
          <w:rFonts w:ascii="Garamond" w:hAnsi="Garamond"/>
          <w:vertAlign w:val="superscript"/>
        </w:rPr>
        <w:t>b</w:t>
      </w:r>
      <w:r w:rsidR="00974D69" w:rsidRPr="005E222B">
        <w:rPr>
          <w:rFonts w:ascii="Garamond" w:hAnsi="Garamond" w:cs="Times New Roman"/>
          <w:szCs w:val="18"/>
        </w:rPr>
        <w:t>–</w:t>
      </w:r>
      <w:r w:rsidR="007810C3" w:rsidRPr="005E222B">
        <w:rPr>
          <w:rFonts w:ascii="Garamond" w:hAnsi="Garamond" w:cs="Times New Roman"/>
          <w:szCs w:val="18"/>
        </w:rPr>
        <w:t>F</w:t>
      </w:r>
      <w:r w:rsidR="00974D69" w:rsidRPr="005E222B">
        <w:rPr>
          <w:rFonts w:ascii="Garamond" w:hAnsi="Garamond" w:cs="Times New Roman"/>
          <w:szCs w:val="18"/>
        </w:rPr>
        <w:t>–</w:t>
      </w:r>
      <w:r w:rsidR="007810C3" w:rsidRPr="005E222B">
        <w:rPr>
          <w:rFonts w:ascii="Garamond" w:hAnsi="Garamond" w:cs="Times New Roman"/>
          <w:szCs w:val="18"/>
        </w:rPr>
        <w:t>A</w:t>
      </w:r>
      <w:r w:rsidR="00974D69" w:rsidRPr="005E222B">
        <w:rPr>
          <w:rFonts w:ascii="Garamond" w:hAnsi="Garamond" w:cs="Times New Roman"/>
          <w:szCs w:val="18"/>
        </w:rPr>
        <w:t>–</w:t>
      </w:r>
      <w:r w:rsidR="00C83CE8" w:rsidRPr="005E222B">
        <w:rPr>
          <w:rFonts w:ascii="Garamond" w:hAnsi="Garamond" w:cs="Times New Roman"/>
          <w:szCs w:val="18"/>
        </w:rPr>
        <w:t>B</w:t>
      </w:r>
      <w:r w:rsidR="007810C3" w:rsidRPr="005E222B">
        <w:rPr>
          <w:rFonts w:ascii="Garamond" w:hAnsi="Garamond"/>
          <w:vertAlign w:val="superscript"/>
        </w:rPr>
        <w:t>b</w:t>
      </w:r>
      <w:r w:rsidR="00974D69" w:rsidRPr="005E222B">
        <w:rPr>
          <w:rFonts w:ascii="Garamond" w:hAnsi="Garamond" w:cs="Times New Roman"/>
          <w:szCs w:val="18"/>
        </w:rPr>
        <w:t>–</w:t>
      </w:r>
      <w:r w:rsidR="007810C3" w:rsidRPr="005E222B">
        <w:rPr>
          <w:rFonts w:ascii="Garamond" w:hAnsi="Garamond" w:cs="Times New Roman"/>
          <w:szCs w:val="18"/>
        </w:rPr>
        <w:t>G</w:t>
      </w:r>
      <w:r w:rsidR="007810C3" w:rsidRPr="005E222B">
        <w:rPr>
          <w:rFonts w:ascii="Garamond" w:hAnsi="Garamond"/>
          <w:vertAlign w:val="superscript"/>
        </w:rPr>
        <w:t>b</w:t>
      </w:r>
      <w:r w:rsidR="007810C3" w:rsidRPr="005E222B">
        <w:rPr>
          <w:rFonts w:ascii="Garamond" w:hAnsi="Garamond" w:cs="Times New Roman"/>
          <w:szCs w:val="18"/>
        </w:rPr>
        <w:t>/ E</w:t>
      </w:r>
      <w:r w:rsidR="00974D69" w:rsidRPr="005E222B">
        <w:rPr>
          <w:rFonts w:ascii="Garamond" w:hAnsi="Garamond" w:cs="Times New Roman"/>
          <w:szCs w:val="18"/>
        </w:rPr>
        <w:t>–</w:t>
      </w:r>
      <w:r w:rsidR="007810C3" w:rsidRPr="005E222B">
        <w:rPr>
          <w:rFonts w:ascii="Garamond" w:hAnsi="Garamond"/>
        </w:rPr>
        <w:t>A</w:t>
      </w:r>
      <w:r w:rsidR="002B0FAD" w:rsidRPr="005E222B">
        <w:rPr>
          <w:rFonts w:ascii="Garamond" w:hAnsi="Garamond"/>
          <w:vertAlign w:val="superscript"/>
        </w:rPr>
        <w:t>b</w:t>
      </w:r>
      <w:r w:rsidR="00974D69" w:rsidRPr="005E222B">
        <w:rPr>
          <w:rFonts w:ascii="Garamond" w:hAnsi="Garamond" w:cs="Times New Roman"/>
          <w:szCs w:val="18"/>
        </w:rPr>
        <w:t>–</w:t>
      </w:r>
      <w:r w:rsidR="007810C3" w:rsidRPr="005E222B">
        <w:rPr>
          <w:rFonts w:ascii="Garamond" w:hAnsi="Garamond" w:cs="Times New Roman"/>
          <w:szCs w:val="18"/>
        </w:rPr>
        <w:t>G</w:t>
      </w:r>
      <w:r w:rsidR="00974D69" w:rsidRPr="005E222B">
        <w:rPr>
          <w:rFonts w:ascii="Garamond" w:hAnsi="Garamond" w:cs="Times New Roman"/>
          <w:szCs w:val="18"/>
        </w:rPr>
        <w:t>–</w:t>
      </w:r>
      <w:r w:rsidR="007810C3" w:rsidRPr="005E222B">
        <w:rPr>
          <w:rFonts w:ascii="Garamond" w:hAnsi="Garamond" w:cs="Times New Roman"/>
          <w:szCs w:val="18"/>
        </w:rPr>
        <w:t>E</w:t>
      </w:r>
      <w:r w:rsidR="002B0FAD" w:rsidRPr="005E222B">
        <w:rPr>
          <w:rFonts w:ascii="Garamond" w:hAnsi="Garamond"/>
          <w:vertAlign w:val="superscript"/>
        </w:rPr>
        <w:t>b</w:t>
      </w:r>
      <w:r w:rsidR="002B0FAD" w:rsidRPr="005E222B">
        <w:rPr>
          <w:rFonts w:ascii="Garamond" w:hAnsi="Garamond" w:cs="Times New Roman"/>
          <w:szCs w:val="18"/>
        </w:rPr>
        <w:t>–</w:t>
      </w:r>
      <w:r w:rsidR="007810C3" w:rsidRPr="005E222B">
        <w:rPr>
          <w:rFonts w:ascii="Garamond" w:hAnsi="Garamond" w:cs="Times New Roman"/>
          <w:szCs w:val="18"/>
        </w:rPr>
        <w:t>B</w:t>
      </w:r>
      <w:r w:rsidR="00974D69" w:rsidRPr="005E222B">
        <w:rPr>
          <w:rFonts w:ascii="Garamond" w:hAnsi="Garamond" w:cs="Times New Roman"/>
          <w:szCs w:val="18"/>
        </w:rPr>
        <w:t>–</w:t>
      </w:r>
      <w:r w:rsidR="007810C3" w:rsidRPr="005E222B">
        <w:rPr>
          <w:rFonts w:ascii="Garamond" w:hAnsi="Garamond" w:cs="Times New Roman"/>
          <w:szCs w:val="18"/>
        </w:rPr>
        <w:t>C</w:t>
      </w:r>
      <w:r w:rsidR="00C83CE8" w:rsidRPr="005E222B">
        <w:rPr>
          <w:rFonts w:ascii="Garamond" w:hAnsi="Garamond" w:cs="Times New Roman"/>
          <w:szCs w:val="18"/>
        </w:rPr>
        <w:t>.</w:t>
      </w:r>
      <w:r w:rsidR="007810C3" w:rsidRPr="005E222B">
        <w:rPr>
          <w:rFonts w:ascii="Garamond" w:hAnsi="Garamond" w:cs="Times New Roman"/>
          <w:szCs w:val="18"/>
        </w:rPr>
        <w:t xml:space="preserve"> Locate these two hexachords in the work’s opening phrase. What do you notice about the presentation of the second hexachord?</w:t>
      </w:r>
    </w:p>
    <w:p w14:paraId="59F9F946" w14:textId="2C1AF5E6" w:rsidR="00A80F18" w:rsidRPr="005E222B" w:rsidRDefault="00C83CE8" w:rsidP="00A80F1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23"/>
        </w:rPr>
      </w:pPr>
      <w:r w:rsidRPr="005E222B">
        <w:rPr>
          <w:rFonts w:ascii="Garamond" w:hAnsi="Garamond" w:cs="Times New Roman"/>
          <w:szCs w:val="18"/>
        </w:rPr>
        <w:t xml:space="preserve"> </w:t>
      </w:r>
    </w:p>
    <w:p w14:paraId="65DCD243" w14:textId="77777777" w:rsidR="00A80F18" w:rsidRPr="005E222B" w:rsidRDefault="00A80F18" w:rsidP="00A80F1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23"/>
        </w:rPr>
      </w:pPr>
    </w:p>
    <w:p w14:paraId="07A10FD1" w14:textId="77777777" w:rsidR="00610E27" w:rsidRDefault="00610E27" w:rsidP="00C83CE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184905A3" w14:textId="77777777" w:rsidR="00610E27" w:rsidRDefault="00610E27" w:rsidP="00C83CE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0B33C385" w14:textId="48E87122" w:rsidR="00A64367" w:rsidRPr="005E222B" w:rsidRDefault="00A64367" w:rsidP="00C83CE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t xml:space="preserve">2. </w:t>
      </w:r>
      <w:r w:rsidR="00C83CE8" w:rsidRPr="005E222B">
        <w:rPr>
          <w:rFonts w:ascii="Garamond" w:hAnsi="Garamond" w:cs="Times New Roman"/>
          <w:szCs w:val="18"/>
        </w:rPr>
        <w:t xml:space="preserve">What </w:t>
      </w:r>
      <w:r w:rsidR="007810C3" w:rsidRPr="005E222B">
        <w:rPr>
          <w:rFonts w:ascii="Garamond" w:hAnsi="Garamond" w:cs="Times New Roman"/>
          <w:szCs w:val="18"/>
        </w:rPr>
        <w:t>do you notice about the structure of the first</w:t>
      </w:r>
      <w:r w:rsidR="00C83CE8" w:rsidRPr="005E222B">
        <w:rPr>
          <w:rFonts w:ascii="Garamond" w:hAnsi="Garamond" w:cs="Times New Roman"/>
          <w:szCs w:val="18"/>
        </w:rPr>
        <w:t xml:space="preserve"> melody</w:t>
      </w:r>
      <w:r w:rsidR="007810C3" w:rsidRPr="005E222B">
        <w:rPr>
          <w:rFonts w:ascii="Garamond" w:hAnsi="Garamond" w:cs="Times New Roman"/>
          <w:szCs w:val="18"/>
        </w:rPr>
        <w:t xml:space="preserve"> in alto</w:t>
      </w:r>
      <w:r w:rsidR="00C83CE8" w:rsidRPr="005E222B">
        <w:rPr>
          <w:rFonts w:ascii="Garamond" w:hAnsi="Garamond" w:cs="Times New Roman"/>
          <w:szCs w:val="18"/>
        </w:rPr>
        <w:t xml:space="preserve">? </w:t>
      </w:r>
      <w:r w:rsidR="007810C3" w:rsidRPr="005E222B">
        <w:rPr>
          <w:rFonts w:ascii="Garamond" w:hAnsi="Garamond" w:cs="Times New Roman"/>
          <w:szCs w:val="18"/>
        </w:rPr>
        <w:t>What does this tell you about the underlying unordered set? Give the first hexachord in normal form.</w:t>
      </w:r>
      <w:r w:rsidR="00A34CF7" w:rsidRPr="005E222B">
        <w:rPr>
          <w:rFonts w:ascii="Garamond" w:hAnsi="Garamond" w:cs="Times New Roman"/>
          <w:szCs w:val="18"/>
        </w:rPr>
        <w:t xml:space="preserve"> Give the second hexachord in normal form.</w:t>
      </w:r>
    </w:p>
    <w:p w14:paraId="5BE07A70" w14:textId="77777777" w:rsidR="00A64367" w:rsidRPr="005E222B" w:rsidRDefault="00A64367" w:rsidP="00C83CE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4DC61292" w14:textId="77777777" w:rsidR="0083336D" w:rsidRPr="005E222B" w:rsidRDefault="0083336D" w:rsidP="00C83CE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42C35CDB" w14:textId="77777777" w:rsidR="00A64367" w:rsidRDefault="00A64367" w:rsidP="00C83CE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754D3039" w14:textId="77777777" w:rsidR="00610E27" w:rsidRPr="005E222B" w:rsidRDefault="00610E27" w:rsidP="00C83CE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4B71CDF5" w14:textId="31CCF27C" w:rsidR="00A34CF7" w:rsidRPr="005E222B" w:rsidRDefault="00A34CF7">
      <w:pPr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t>3. Give the original row in its form as I</w:t>
      </w:r>
      <w:r w:rsidRPr="005E222B">
        <w:rPr>
          <w:rFonts w:ascii="Garamond" w:hAnsi="Garamond" w:cs="Times New Roman"/>
          <w:szCs w:val="18"/>
          <w:vertAlign w:val="subscript"/>
        </w:rPr>
        <w:t>7</w:t>
      </w:r>
      <w:r w:rsidRPr="005E222B">
        <w:rPr>
          <w:rFonts w:ascii="Garamond" w:hAnsi="Garamond" w:cs="Times New Roman"/>
          <w:szCs w:val="18"/>
        </w:rPr>
        <w:t>.  How does</w:t>
      </w:r>
      <w:r w:rsidR="00F70286" w:rsidRPr="005E222B">
        <w:rPr>
          <w:rFonts w:ascii="Garamond" w:hAnsi="Garamond" w:cs="Times New Roman"/>
          <w:szCs w:val="18"/>
        </w:rPr>
        <w:t xml:space="preserve"> </w:t>
      </w:r>
      <w:r w:rsidRPr="005E222B">
        <w:rPr>
          <w:rFonts w:ascii="Garamond" w:hAnsi="Garamond" w:cs="Times New Roman"/>
          <w:szCs w:val="18"/>
        </w:rPr>
        <w:t>the pitch content of  I</w:t>
      </w:r>
      <w:r w:rsidRPr="005E222B">
        <w:rPr>
          <w:rFonts w:ascii="Garamond" w:hAnsi="Garamond" w:cs="Times New Roman"/>
          <w:szCs w:val="18"/>
          <w:vertAlign w:val="subscript"/>
        </w:rPr>
        <w:t xml:space="preserve">7 </w:t>
      </w:r>
      <w:r w:rsidRPr="005E222B">
        <w:rPr>
          <w:rFonts w:ascii="Garamond" w:hAnsi="Garamond" w:cs="Times New Roman"/>
          <w:szCs w:val="18"/>
        </w:rPr>
        <w:t>relate to that of  P</w:t>
      </w:r>
      <w:r w:rsidRPr="005E222B">
        <w:rPr>
          <w:rFonts w:ascii="Garamond" w:hAnsi="Garamond" w:cs="Times New Roman"/>
          <w:szCs w:val="13"/>
          <w:vertAlign w:val="subscript"/>
        </w:rPr>
        <w:t>2</w:t>
      </w:r>
      <w:r w:rsidRPr="005E222B">
        <w:rPr>
          <w:rFonts w:ascii="Garamond" w:hAnsi="Garamond" w:cs="Times New Roman"/>
          <w:szCs w:val="18"/>
        </w:rPr>
        <w:t>?</w:t>
      </w:r>
    </w:p>
    <w:p w14:paraId="516E671B" w14:textId="77777777" w:rsidR="00610E27" w:rsidRDefault="00610E27">
      <w:pPr>
        <w:rPr>
          <w:rFonts w:ascii="Garamond" w:hAnsi="Garamond" w:cs="Times New Roman"/>
          <w:szCs w:val="18"/>
        </w:rPr>
      </w:pPr>
    </w:p>
    <w:p w14:paraId="3B4EB581" w14:textId="77777777" w:rsidR="00610E27" w:rsidRDefault="00610E27">
      <w:pPr>
        <w:rPr>
          <w:rFonts w:ascii="Garamond" w:hAnsi="Garamond" w:cs="Times New Roman"/>
          <w:szCs w:val="18"/>
        </w:rPr>
      </w:pPr>
    </w:p>
    <w:p w14:paraId="2A11A130" w14:textId="13764556" w:rsidR="0083336D" w:rsidRPr="005E222B" w:rsidRDefault="00A34CF7">
      <w:pPr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t xml:space="preserve">4. The </w:t>
      </w:r>
      <w:r w:rsidR="00936585" w:rsidRPr="005E222B">
        <w:rPr>
          <w:rFonts w:ascii="Garamond" w:hAnsi="Garamond" w:cs="Times New Roman"/>
          <w:szCs w:val="18"/>
        </w:rPr>
        <w:t>I</w:t>
      </w:r>
      <w:r w:rsidR="00936585" w:rsidRPr="005E222B">
        <w:rPr>
          <w:rFonts w:ascii="Garamond" w:hAnsi="Garamond" w:cs="Times New Roman"/>
          <w:szCs w:val="18"/>
          <w:vertAlign w:val="subscript"/>
        </w:rPr>
        <w:t xml:space="preserve">7 </w:t>
      </w:r>
      <w:r w:rsidRPr="005E222B">
        <w:rPr>
          <w:rFonts w:ascii="Garamond" w:hAnsi="Garamond" w:cs="Times New Roman"/>
          <w:szCs w:val="18"/>
        </w:rPr>
        <w:t>row is first located in the bass, but what is odd about its presentation? Where is the second half of I</w:t>
      </w:r>
      <w:r w:rsidRPr="005E222B">
        <w:rPr>
          <w:rFonts w:ascii="Garamond" w:hAnsi="Garamond" w:cs="Times New Roman"/>
          <w:szCs w:val="18"/>
          <w:vertAlign w:val="subscript"/>
        </w:rPr>
        <w:t>7</w:t>
      </w:r>
      <w:r w:rsidRPr="005E222B">
        <w:rPr>
          <w:rFonts w:ascii="Garamond" w:hAnsi="Garamond" w:cs="Times New Roman"/>
          <w:szCs w:val="18"/>
        </w:rPr>
        <w:t>? How is the second hexachord presented?</w:t>
      </w:r>
    </w:p>
    <w:p w14:paraId="53C1C5F2" w14:textId="77777777" w:rsidR="005E222B" w:rsidRPr="005E222B" w:rsidRDefault="005E222B">
      <w:pPr>
        <w:rPr>
          <w:rFonts w:ascii="Garamond" w:hAnsi="Garamond" w:cs="Times New Roman"/>
          <w:szCs w:val="18"/>
        </w:rPr>
      </w:pPr>
    </w:p>
    <w:p w14:paraId="1705C432" w14:textId="5385D822" w:rsidR="005E222B" w:rsidRPr="005E222B" w:rsidRDefault="005E222B">
      <w:pPr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t>5. Analyze the vertical tetrachords formed by the first three chords in m. 7. What do you notice about their progression?</w:t>
      </w:r>
    </w:p>
    <w:p w14:paraId="2F1729B1" w14:textId="77777777" w:rsidR="00F70286" w:rsidRPr="005E222B" w:rsidRDefault="00F70286">
      <w:pPr>
        <w:rPr>
          <w:rFonts w:ascii="Garamond" w:hAnsi="Garamond" w:cs="Times New Roman"/>
          <w:szCs w:val="18"/>
        </w:rPr>
      </w:pPr>
    </w:p>
    <w:p w14:paraId="79C76330" w14:textId="54275F76" w:rsidR="00F70286" w:rsidRDefault="00610E27">
      <w:pPr>
        <w:rPr>
          <w:rFonts w:ascii="Garamond" w:hAnsi="Garamond" w:cs="Times New Roman"/>
          <w:szCs w:val="18"/>
        </w:rPr>
      </w:pPr>
      <w:r>
        <w:rPr>
          <w:rFonts w:ascii="Garamond" w:hAnsi="Garamond" w:cs="Times New Roman"/>
          <w:szCs w:val="18"/>
        </w:rPr>
        <w:t>6</w:t>
      </w:r>
      <w:r w:rsidR="00F70286" w:rsidRPr="005E222B">
        <w:rPr>
          <w:rFonts w:ascii="Garamond" w:hAnsi="Garamond" w:cs="Times New Roman"/>
          <w:szCs w:val="18"/>
        </w:rPr>
        <w:t>. Analyze the Normal Form of the vertical hexachord at “Welt.” There are several ways to relate that to a segment of the row; give at least one row form that will produce those six pitch-classes.</w:t>
      </w:r>
    </w:p>
    <w:p w14:paraId="01096D9C" w14:textId="77777777" w:rsidR="0013546F" w:rsidRDefault="0013546F">
      <w:pPr>
        <w:rPr>
          <w:rFonts w:ascii="Garamond" w:hAnsi="Garamond" w:cs="Times New Roman"/>
          <w:szCs w:val="18"/>
        </w:rPr>
      </w:pPr>
    </w:p>
    <w:p w14:paraId="31C2A9F2" w14:textId="77777777" w:rsidR="00610E27" w:rsidRDefault="00610E27">
      <w:pPr>
        <w:rPr>
          <w:rFonts w:ascii="Garamond" w:hAnsi="Garamond" w:cs="Times New Roman"/>
          <w:szCs w:val="18"/>
        </w:rPr>
      </w:pPr>
    </w:p>
    <w:p w14:paraId="2341B670" w14:textId="77777777" w:rsidR="00610E27" w:rsidRDefault="00610E27">
      <w:pPr>
        <w:rPr>
          <w:rFonts w:ascii="Garamond" w:hAnsi="Garamond" w:cs="Times New Roman"/>
          <w:szCs w:val="18"/>
        </w:rPr>
      </w:pPr>
    </w:p>
    <w:p w14:paraId="653D733E" w14:textId="35DE740E" w:rsidR="00B319E8" w:rsidRDefault="00610E27">
      <w:pPr>
        <w:rPr>
          <w:rFonts w:ascii="Garamond" w:hAnsi="Garamond" w:cs="Times New Roman"/>
          <w:szCs w:val="18"/>
        </w:rPr>
      </w:pPr>
      <w:r>
        <w:rPr>
          <w:rFonts w:ascii="Garamond" w:hAnsi="Garamond" w:cs="Times New Roman"/>
          <w:szCs w:val="18"/>
        </w:rPr>
        <w:t>7</w:t>
      </w:r>
      <w:r w:rsidR="00B319E8" w:rsidRPr="005E222B">
        <w:rPr>
          <w:rFonts w:ascii="Garamond" w:hAnsi="Garamond" w:cs="Times New Roman"/>
          <w:szCs w:val="18"/>
        </w:rPr>
        <w:t>. Lutyens claimed that all of her rows were based on 3-note cells. What cell is used to construct the Motet?</w:t>
      </w:r>
    </w:p>
    <w:p w14:paraId="37C976F2" w14:textId="77777777" w:rsidR="00610E27" w:rsidRDefault="00610E27">
      <w:pPr>
        <w:rPr>
          <w:rFonts w:ascii="Garamond" w:hAnsi="Garamond" w:cs="Times New Roman"/>
          <w:szCs w:val="18"/>
        </w:rPr>
      </w:pPr>
    </w:p>
    <w:p w14:paraId="5ACB9F13" w14:textId="77777777" w:rsidR="00610E27" w:rsidRDefault="00610E27">
      <w:pPr>
        <w:rPr>
          <w:rFonts w:ascii="Garamond" w:hAnsi="Garamond" w:cs="Times New Roman"/>
          <w:szCs w:val="18"/>
        </w:rPr>
      </w:pPr>
    </w:p>
    <w:p w14:paraId="51C9AB61" w14:textId="3266FD17" w:rsidR="00610E27" w:rsidRPr="005E222B" w:rsidRDefault="00610E27" w:rsidP="00610E27">
      <w:pPr>
        <w:rPr>
          <w:rFonts w:ascii="Garamond" w:hAnsi="Garamond" w:cs="Times New Roman"/>
          <w:szCs w:val="18"/>
        </w:rPr>
      </w:pPr>
      <w:r>
        <w:rPr>
          <w:rFonts w:ascii="Garamond" w:hAnsi="Garamond" w:cs="Times New Roman"/>
          <w:szCs w:val="18"/>
        </w:rPr>
        <w:t xml:space="preserve">8. How might the text relate to the idea behind the music? Extra credit: Can you find anything that links all the </w:t>
      </w:r>
      <w:proofErr w:type="spellStart"/>
      <w:r>
        <w:rPr>
          <w:rFonts w:ascii="Garamond" w:hAnsi="Garamond" w:cs="Times New Roman"/>
          <w:szCs w:val="18"/>
        </w:rPr>
        <w:t>appearences</w:t>
      </w:r>
      <w:proofErr w:type="spellEnd"/>
      <w:r>
        <w:rPr>
          <w:rFonts w:ascii="Garamond" w:hAnsi="Garamond" w:cs="Times New Roman"/>
          <w:szCs w:val="18"/>
        </w:rPr>
        <w:t xml:space="preserve"> of “Welt,” “Fall,” “</w:t>
      </w:r>
      <w:proofErr w:type="spellStart"/>
      <w:r>
        <w:rPr>
          <w:rFonts w:ascii="Garamond" w:hAnsi="Garamond" w:cs="Times New Roman"/>
          <w:szCs w:val="18"/>
        </w:rPr>
        <w:t>Gesamtheit</w:t>
      </w:r>
      <w:proofErr w:type="spellEnd"/>
      <w:r>
        <w:rPr>
          <w:rFonts w:ascii="Garamond" w:hAnsi="Garamond" w:cs="Times New Roman"/>
          <w:szCs w:val="18"/>
        </w:rPr>
        <w:t>” or “</w:t>
      </w:r>
      <w:proofErr w:type="spellStart"/>
      <w:r>
        <w:rPr>
          <w:rFonts w:ascii="Garamond" w:hAnsi="Garamond" w:cs="Times New Roman"/>
          <w:szCs w:val="18"/>
        </w:rPr>
        <w:t>Raum</w:t>
      </w:r>
      <w:proofErr w:type="spellEnd"/>
      <w:r>
        <w:rPr>
          <w:rFonts w:ascii="Garamond" w:hAnsi="Garamond" w:cs="Times New Roman"/>
          <w:szCs w:val="18"/>
        </w:rPr>
        <w:t>”?</w:t>
      </w:r>
    </w:p>
    <w:p w14:paraId="070123DE" w14:textId="77777777" w:rsidR="00610E27" w:rsidRPr="005E222B" w:rsidRDefault="00610E27">
      <w:pPr>
        <w:rPr>
          <w:rFonts w:ascii="Garamond" w:hAnsi="Garamond" w:cs="Times New Roman"/>
          <w:szCs w:val="18"/>
        </w:rPr>
      </w:pPr>
    </w:p>
    <w:p w14:paraId="7802AAE6" w14:textId="77777777" w:rsidR="00746D22" w:rsidRPr="005E222B" w:rsidRDefault="00746D22">
      <w:pPr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br w:type="page"/>
      </w:r>
    </w:p>
    <w:p w14:paraId="0161789F" w14:textId="7FC65D9F" w:rsidR="00F826ED" w:rsidRPr="005E222B" w:rsidRDefault="00F826ED" w:rsidP="00C83CE8">
      <w:pPr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lastRenderedPageBreak/>
        <w:t xml:space="preserve">Webern, </w:t>
      </w:r>
      <w:r w:rsidRPr="005E222B">
        <w:rPr>
          <w:rFonts w:ascii="Garamond" w:hAnsi="Garamond" w:cs="Times New Roman"/>
          <w:i/>
          <w:szCs w:val="18"/>
        </w:rPr>
        <w:t>Concerto</w:t>
      </w:r>
      <w:r w:rsidR="00D466AE" w:rsidRPr="005E222B">
        <w:rPr>
          <w:rFonts w:ascii="Garamond" w:hAnsi="Garamond" w:cs="Times New Roman"/>
          <w:i/>
          <w:szCs w:val="18"/>
        </w:rPr>
        <w:t xml:space="preserve"> for Nine Instruments</w:t>
      </w:r>
      <w:r w:rsidRPr="005E222B">
        <w:rPr>
          <w:rFonts w:ascii="Garamond" w:hAnsi="Garamond" w:cs="Times New Roman"/>
          <w:szCs w:val="18"/>
        </w:rPr>
        <w:t>, Op. 24, iii</w:t>
      </w:r>
      <w:r w:rsidR="00D466AE" w:rsidRPr="005E222B">
        <w:rPr>
          <w:rFonts w:ascii="Garamond" w:hAnsi="Garamond" w:cs="Times New Roman"/>
          <w:szCs w:val="18"/>
        </w:rPr>
        <w:t>, mm. 1–13</w:t>
      </w:r>
      <w:r w:rsidR="003B1F24" w:rsidRPr="005E222B">
        <w:rPr>
          <w:rFonts w:ascii="Garamond" w:hAnsi="Garamond" w:cs="Times New Roman"/>
          <w:szCs w:val="18"/>
        </w:rPr>
        <w:t xml:space="preserve"> (20%)</w:t>
      </w:r>
    </w:p>
    <w:p w14:paraId="135D187F" w14:textId="77777777" w:rsidR="003B1F24" w:rsidRPr="005E222B" w:rsidRDefault="00F826ED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t>The second movement of this concerto has been discussed many times in this book. The</w:t>
      </w:r>
      <w:r w:rsidR="00D466AE" w:rsidRPr="005E222B">
        <w:rPr>
          <w:rFonts w:ascii="Garamond" w:hAnsi="Garamond" w:cs="Times New Roman"/>
          <w:szCs w:val="18"/>
        </w:rPr>
        <w:t xml:space="preserve"> </w:t>
      </w:r>
      <w:r w:rsidRPr="005E222B">
        <w:rPr>
          <w:rFonts w:ascii="Garamond" w:hAnsi="Garamond" w:cs="Times New Roman"/>
          <w:szCs w:val="18"/>
        </w:rPr>
        <w:t xml:space="preserve">third </w:t>
      </w:r>
      <w:r w:rsidR="00D466AE" w:rsidRPr="005E222B">
        <w:rPr>
          <w:rFonts w:ascii="Garamond" w:hAnsi="Garamond" w:cs="Times New Roman"/>
          <w:szCs w:val="18"/>
        </w:rPr>
        <w:t>m</w:t>
      </w:r>
      <w:r w:rsidRPr="005E222B">
        <w:rPr>
          <w:rFonts w:ascii="Garamond" w:hAnsi="Garamond" w:cs="Times New Roman"/>
          <w:szCs w:val="18"/>
        </w:rPr>
        <w:t xml:space="preserve">ovement, excerpted here, maintains the intervallic and </w:t>
      </w:r>
      <w:proofErr w:type="spellStart"/>
      <w:r w:rsidRPr="005E222B">
        <w:rPr>
          <w:rFonts w:ascii="Garamond" w:hAnsi="Garamond" w:cs="Times New Roman"/>
          <w:szCs w:val="18"/>
        </w:rPr>
        <w:t>trichordal</w:t>
      </w:r>
      <w:proofErr w:type="spellEnd"/>
      <w:r w:rsidRPr="005E222B">
        <w:rPr>
          <w:rFonts w:ascii="Garamond" w:hAnsi="Garamond" w:cs="Times New Roman"/>
          <w:szCs w:val="18"/>
        </w:rPr>
        <w:t xml:space="preserve"> fo</w:t>
      </w:r>
      <w:r w:rsidR="00D466AE" w:rsidRPr="005E222B">
        <w:rPr>
          <w:rFonts w:ascii="Garamond" w:hAnsi="Garamond" w:cs="Times New Roman"/>
          <w:szCs w:val="18"/>
        </w:rPr>
        <w:t>c</w:t>
      </w:r>
      <w:r w:rsidRPr="005E222B">
        <w:rPr>
          <w:rFonts w:ascii="Garamond" w:hAnsi="Garamond" w:cs="Times New Roman"/>
          <w:szCs w:val="18"/>
        </w:rPr>
        <w:t xml:space="preserve">us of </w:t>
      </w:r>
      <w:r w:rsidR="003B1F24" w:rsidRPr="005E222B">
        <w:rPr>
          <w:rFonts w:ascii="Garamond" w:hAnsi="Garamond" w:cs="Times New Roman"/>
          <w:szCs w:val="18"/>
        </w:rPr>
        <w:t>movement ii.</w:t>
      </w:r>
    </w:p>
    <w:p w14:paraId="75818478" w14:textId="77777777" w:rsidR="003B1F24" w:rsidRPr="005E222B" w:rsidRDefault="003B1F24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6B9289CD" w14:textId="18999321" w:rsidR="00F826ED" w:rsidRPr="005E222B" w:rsidRDefault="003B1F24" w:rsidP="00E14BF1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t xml:space="preserve">1. </w:t>
      </w:r>
      <w:r w:rsidR="00F826ED" w:rsidRPr="005E222B">
        <w:rPr>
          <w:rFonts w:ascii="Garamond" w:hAnsi="Garamond" w:cs="Times New Roman"/>
          <w:szCs w:val="18"/>
        </w:rPr>
        <w:t>P</w:t>
      </w:r>
      <w:r w:rsidR="00F826ED" w:rsidRPr="005E222B">
        <w:rPr>
          <w:rFonts w:ascii="Garamond" w:hAnsi="Garamond" w:cs="Times New Roman"/>
          <w:szCs w:val="14"/>
          <w:vertAlign w:val="subscript"/>
        </w:rPr>
        <w:t>5</w:t>
      </w:r>
      <w:r w:rsidR="00F826ED" w:rsidRPr="005E222B">
        <w:rPr>
          <w:rFonts w:ascii="Garamond" w:hAnsi="Garamond" w:cs="Times New Roman"/>
          <w:szCs w:val="14"/>
        </w:rPr>
        <w:t xml:space="preserve"> = </w:t>
      </w:r>
      <w:r w:rsidR="00F826ED" w:rsidRPr="005E222B">
        <w:rPr>
          <w:rFonts w:ascii="Garamond" w:hAnsi="Garamond" w:cs="Times New Roman"/>
          <w:szCs w:val="18"/>
        </w:rPr>
        <w:t>F</w:t>
      </w:r>
      <w:r w:rsidRPr="005E222B">
        <w:rPr>
          <w:rFonts w:ascii="Garamond" w:hAnsi="Garamond" w:cs="Times New Roman"/>
          <w:szCs w:val="18"/>
        </w:rPr>
        <w:t>–F</w:t>
      </w:r>
      <w:r w:rsidRPr="005E222B">
        <w:rPr>
          <w:rFonts w:ascii="Garamond" w:hAnsi="Garamond"/>
          <w:vertAlign w:val="superscript"/>
        </w:rPr>
        <w:t>#</w:t>
      </w:r>
      <w:r w:rsidRPr="005E222B">
        <w:rPr>
          <w:rFonts w:ascii="Garamond" w:hAnsi="Garamond" w:cs="Times New Roman"/>
          <w:szCs w:val="18"/>
        </w:rPr>
        <w:t>–D–C</w:t>
      </w:r>
      <w:r w:rsidRPr="005E222B">
        <w:rPr>
          <w:rFonts w:ascii="Garamond" w:hAnsi="Garamond"/>
          <w:vertAlign w:val="superscript"/>
        </w:rPr>
        <w:t>#</w:t>
      </w:r>
      <w:r w:rsidRPr="005E222B">
        <w:rPr>
          <w:rFonts w:ascii="Garamond" w:hAnsi="Garamond" w:cs="Times New Roman"/>
          <w:szCs w:val="18"/>
        </w:rPr>
        <w:t>–A–B</w:t>
      </w:r>
      <w:r w:rsidRPr="005E222B">
        <w:rPr>
          <w:rFonts w:ascii="Garamond" w:hAnsi="Garamond"/>
          <w:vertAlign w:val="superscript"/>
        </w:rPr>
        <w:t>b</w:t>
      </w:r>
      <w:r w:rsidRPr="005E222B">
        <w:rPr>
          <w:rFonts w:ascii="Garamond" w:hAnsi="Garamond" w:cs="Times New Roman"/>
          <w:szCs w:val="18"/>
        </w:rPr>
        <w:t>–A</w:t>
      </w:r>
      <w:r w:rsidRPr="005E222B">
        <w:rPr>
          <w:rFonts w:ascii="Garamond" w:hAnsi="Garamond"/>
          <w:vertAlign w:val="superscript"/>
        </w:rPr>
        <w:t>b</w:t>
      </w:r>
      <w:r w:rsidRPr="005E222B">
        <w:rPr>
          <w:rFonts w:ascii="Garamond" w:hAnsi="Garamond" w:cs="Times New Roman"/>
          <w:szCs w:val="18"/>
        </w:rPr>
        <w:t>–C–B–E–E</w:t>
      </w:r>
      <w:r w:rsidRPr="005E222B">
        <w:rPr>
          <w:rFonts w:ascii="Garamond" w:hAnsi="Garamond"/>
          <w:vertAlign w:val="superscript"/>
        </w:rPr>
        <w:t>b</w:t>
      </w:r>
      <w:r w:rsidRPr="005E222B">
        <w:rPr>
          <w:rFonts w:ascii="Garamond" w:hAnsi="Garamond" w:cs="Times New Roman"/>
          <w:szCs w:val="18"/>
        </w:rPr>
        <w:t>–</w:t>
      </w:r>
      <w:r w:rsidR="00F826ED" w:rsidRPr="005E222B">
        <w:rPr>
          <w:rFonts w:ascii="Garamond" w:hAnsi="Garamond" w:cs="Times New Roman"/>
          <w:szCs w:val="18"/>
        </w:rPr>
        <w:t>G. Analyze the series, with particular attention</w:t>
      </w:r>
      <w:r w:rsidRPr="005E222B">
        <w:rPr>
          <w:rFonts w:ascii="Garamond" w:hAnsi="Garamond" w:cs="Times New Roman"/>
          <w:szCs w:val="18"/>
        </w:rPr>
        <w:t xml:space="preserve"> </w:t>
      </w:r>
      <w:r w:rsidR="00F826ED" w:rsidRPr="005E222B">
        <w:rPr>
          <w:rFonts w:ascii="Garamond" w:hAnsi="Garamond" w:cs="Times New Roman"/>
          <w:szCs w:val="15"/>
        </w:rPr>
        <w:t xml:space="preserve">to </w:t>
      </w:r>
      <w:r w:rsidR="00F826ED" w:rsidRPr="005E222B">
        <w:rPr>
          <w:rFonts w:ascii="Garamond" w:hAnsi="Garamond" w:cs="Times New Roman"/>
          <w:szCs w:val="18"/>
        </w:rPr>
        <w:t>its intervals, discrete trichords, and hexachords. Do a twelve-count of the passage,</w:t>
      </w:r>
      <w:r w:rsidRPr="005E222B">
        <w:rPr>
          <w:rFonts w:ascii="Garamond" w:hAnsi="Garamond" w:cs="Times New Roman"/>
          <w:szCs w:val="18"/>
        </w:rPr>
        <w:t xml:space="preserve"> </w:t>
      </w:r>
      <w:r w:rsidR="00F826ED" w:rsidRPr="005E222B">
        <w:rPr>
          <w:rFonts w:ascii="Garamond" w:hAnsi="Garamond" w:cs="Times New Roman"/>
          <w:szCs w:val="18"/>
        </w:rPr>
        <w:t>identifying its row forms.</w:t>
      </w:r>
    </w:p>
    <w:p w14:paraId="56AE2377" w14:textId="77777777" w:rsidR="00E14BF1" w:rsidRPr="005E222B" w:rsidRDefault="00E14BF1" w:rsidP="00E14BF1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71937B32" w14:textId="77777777" w:rsidR="00E14BF1" w:rsidRPr="005E222B" w:rsidRDefault="00E14BF1" w:rsidP="00E14BF1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6FBD714F" w14:textId="77777777" w:rsidR="003B1F24" w:rsidRPr="005E222B" w:rsidRDefault="003B1F24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51B0DD02" w14:textId="77777777" w:rsidR="003B1F24" w:rsidRPr="005E222B" w:rsidRDefault="003B1F24" w:rsidP="003B1F2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t>2.</w:t>
      </w:r>
      <w:r w:rsidR="00F826ED" w:rsidRPr="005E222B">
        <w:rPr>
          <w:rFonts w:ascii="Garamond" w:hAnsi="Garamond" w:cs="Times New Roman"/>
          <w:szCs w:val="18"/>
        </w:rPr>
        <w:t xml:space="preserve"> The series is derived from a trichord. Identif</w:t>
      </w:r>
      <w:r w:rsidRPr="005E222B">
        <w:rPr>
          <w:rFonts w:ascii="Garamond" w:hAnsi="Garamond" w:cs="Times New Roman"/>
          <w:szCs w:val="18"/>
        </w:rPr>
        <w:t>y</w:t>
      </w:r>
      <w:r w:rsidR="00F826ED" w:rsidRPr="005E222B">
        <w:rPr>
          <w:rFonts w:ascii="Garamond" w:hAnsi="Garamond" w:cs="Times New Roman"/>
          <w:szCs w:val="18"/>
        </w:rPr>
        <w:t xml:space="preserve"> occurrences of that trichord and relate</w:t>
      </w:r>
      <w:r w:rsidRPr="005E222B">
        <w:rPr>
          <w:rFonts w:ascii="Garamond" w:hAnsi="Garamond" w:cs="Times New Roman"/>
          <w:szCs w:val="18"/>
        </w:rPr>
        <w:t xml:space="preserve"> </w:t>
      </w:r>
      <w:r w:rsidR="00F826ED" w:rsidRPr="005E222B">
        <w:rPr>
          <w:rFonts w:ascii="Garamond" w:hAnsi="Garamond" w:cs="Times New Roman"/>
          <w:szCs w:val="18"/>
        </w:rPr>
        <w:t>them via T</w:t>
      </w:r>
      <w:r w:rsidR="00F826ED" w:rsidRPr="005E222B">
        <w:rPr>
          <w:rFonts w:ascii="Garamond" w:hAnsi="Garamond" w:cs="Times New Roman"/>
          <w:szCs w:val="18"/>
          <w:vertAlign w:val="subscript"/>
        </w:rPr>
        <w:t xml:space="preserve">n </w:t>
      </w:r>
      <w:r w:rsidR="00F826ED" w:rsidRPr="005E222B">
        <w:rPr>
          <w:rFonts w:ascii="Garamond" w:hAnsi="Garamond" w:cs="Times New Roman"/>
          <w:szCs w:val="18"/>
        </w:rPr>
        <w:t>and I</w:t>
      </w:r>
      <w:r w:rsidRPr="005E222B">
        <w:rPr>
          <w:rFonts w:ascii="Garamond" w:hAnsi="Garamond" w:cs="Times New Roman"/>
          <w:szCs w:val="18"/>
          <w:vertAlign w:val="subscript"/>
        </w:rPr>
        <w:t xml:space="preserve">n </w:t>
      </w:r>
      <w:r w:rsidR="00F826ED" w:rsidRPr="005E222B">
        <w:rPr>
          <w:rFonts w:ascii="Garamond" w:hAnsi="Garamond" w:cs="Times New Roman"/>
          <w:szCs w:val="18"/>
        </w:rPr>
        <w:t xml:space="preserve">. Do you see any patterns? </w:t>
      </w:r>
    </w:p>
    <w:p w14:paraId="091B7291" w14:textId="77777777" w:rsidR="003B1F24" w:rsidRPr="005E222B" w:rsidRDefault="003B1F24" w:rsidP="003B1F2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7D06DA2C" w14:textId="77777777" w:rsidR="0083336D" w:rsidRPr="005E222B" w:rsidRDefault="0083336D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0AECBE5A" w14:textId="77777777" w:rsidR="0083336D" w:rsidRPr="005E222B" w:rsidRDefault="0083336D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374F399E" w14:textId="77777777" w:rsidR="00314900" w:rsidRPr="005E222B" w:rsidRDefault="00314900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756241B4" w14:textId="77777777" w:rsidR="003B1F24" w:rsidRPr="005E222B" w:rsidRDefault="003B1F24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t xml:space="preserve">3. </w:t>
      </w:r>
      <w:r w:rsidR="00F826ED" w:rsidRPr="005E222B">
        <w:rPr>
          <w:rFonts w:ascii="Garamond" w:hAnsi="Garamond" w:cs="Times New Roman"/>
          <w:szCs w:val="18"/>
        </w:rPr>
        <w:t>The passage can be thought of as two separate lines (as in the reduced score). Analyze the</w:t>
      </w:r>
      <w:r w:rsidRPr="005E222B">
        <w:rPr>
          <w:rFonts w:ascii="Garamond" w:hAnsi="Garamond" w:cs="Times New Roman"/>
          <w:szCs w:val="18"/>
        </w:rPr>
        <w:t xml:space="preserve"> </w:t>
      </w:r>
      <w:r w:rsidR="00F826ED" w:rsidRPr="005E222B">
        <w:rPr>
          <w:rFonts w:ascii="Garamond" w:hAnsi="Garamond" w:cs="Times New Roman"/>
          <w:szCs w:val="18"/>
        </w:rPr>
        <w:t>relationship between the lines, both in pitch and in rhythm.</w:t>
      </w:r>
    </w:p>
    <w:p w14:paraId="557F9864" w14:textId="77777777" w:rsidR="0083336D" w:rsidRPr="005E222B" w:rsidRDefault="0083336D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1B0613DD" w14:textId="77777777" w:rsidR="0083336D" w:rsidRPr="005E222B" w:rsidRDefault="0083336D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4FE9A02C" w14:textId="77777777" w:rsidR="00E14BF1" w:rsidRPr="005E222B" w:rsidRDefault="00E14BF1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5334CF77" w14:textId="77777777" w:rsidR="0083336D" w:rsidRPr="005E222B" w:rsidRDefault="0083336D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2C07DB54" w14:textId="77777777" w:rsidR="003B1F24" w:rsidRPr="005E222B" w:rsidRDefault="003B1F24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4475E9DA" w14:textId="77777777" w:rsidR="003B1F24" w:rsidRPr="005E222B" w:rsidRDefault="003B1F24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t xml:space="preserve">4. </w:t>
      </w:r>
      <w:r w:rsidR="00F826ED" w:rsidRPr="005E222B">
        <w:rPr>
          <w:rFonts w:ascii="Garamond" w:hAnsi="Garamond" w:cs="Times New Roman"/>
          <w:szCs w:val="18"/>
        </w:rPr>
        <w:t>Study the invariance among the series forms and describe how it is manifested in the</w:t>
      </w:r>
      <w:r w:rsidRPr="005E222B">
        <w:rPr>
          <w:rFonts w:ascii="Garamond" w:hAnsi="Garamond" w:cs="Times New Roman"/>
          <w:szCs w:val="18"/>
        </w:rPr>
        <w:t xml:space="preserve"> </w:t>
      </w:r>
      <w:r w:rsidR="00F826ED" w:rsidRPr="005E222B">
        <w:rPr>
          <w:rFonts w:ascii="Garamond" w:hAnsi="Garamond" w:cs="Times New Roman"/>
          <w:szCs w:val="18"/>
        </w:rPr>
        <w:t>music.</w:t>
      </w:r>
    </w:p>
    <w:p w14:paraId="7A991CD8" w14:textId="77777777" w:rsidR="0083336D" w:rsidRPr="005E222B" w:rsidRDefault="0083336D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5EF483B4" w14:textId="77777777" w:rsidR="0083336D" w:rsidRPr="005E222B" w:rsidRDefault="0083336D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656D6655" w14:textId="77777777" w:rsidR="003B1F24" w:rsidRPr="005E222B" w:rsidRDefault="003B1F24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41EA2DBE" w14:textId="77777777" w:rsidR="00E14BF1" w:rsidRPr="005E222B" w:rsidRDefault="00E14BF1" w:rsidP="00F826E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</w:p>
    <w:p w14:paraId="30FBB1D5" w14:textId="77777777" w:rsidR="005252D4" w:rsidRPr="005E222B" w:rsidRDefault="003B1F24" w:rsidP="003B1F2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Cs w:val="18"/>
        </w:rPr>
      </w:pPr>
      <w:r w:rsidRPr="005E222B">
        <w:rPr>
          <w:rFonts w:ascii="Garamond" w:hAnsi="Garamond" w:cs="Times New Roman"/>
          <w:szCs w:val="18"/>
        </w:rPr>
        <w:t xml:space="preserve">5. </w:t>
      </w:r>
      <w:r w:rsidR="00F826ED" w:rsidRPr="005E222B">
        <w:rPr>
          <w:rFonts w:ascii="Garamond" w:hAnsi="Garamond" w:cs="Times New Roman"/>
          <w:szCs w:val="18"/>
        </w:rPr>
        <w:t xml:space="preserve">Other than the </w:t>
      </w:r>
      <w:r w:rsidR="00F826ED" w:rsidRPr="005E222B">
        <w:rPr>
          <w:rFonts w:ascii="Garamond" w:hAnsi="Garamond" w:cs="Times New Roman"/>
          <w:i/>
          <w:szCs w:val="17"/>
        </w:rPr>
        <w:t>poco ritenuto</w:t>
      </w:r>
      <w:r w:rsidR="00F826ED" w:rsidRPr="005E222B">
        <w:rPr>
          <w:rFonts w:ascii="Garamond" w:hAnsi="Garamond" w:cs="Times New Roman"/>
          <w:szCs w:val="17"/>
        </w:rPr>
        <w:t xml:space="preserve"> </w:t>
      </w:r>
      <w:r w:rsidR="00F826ED" w:rsidRPr="005E222B">
        <w:rPr>
          <w:rFonts w:ascii="Garamond" w:hAnsi="Garamond" w:cs="Times New Roman"/>
          <w:szCs w:val="18"/>
        </w:rPr>
        <w:t>and the rest at the end, what gives this passage the sense of</w:t>
      </w:r>
      <w:r w:rsidRPr="005E222B">
        <w:rPr>
          <w:rFonts w:ascii="Garamond" w:hAnsi="Garamond" w:cs="Times New Roman"/>
          <w:szCs w:val="18"/>
        </w:rPr>
        <w:t xml:space="preserve"> </w:t>
      </w:r>
      <w:r w:rsidR="00F826ED" w:rsidRPr="005E222B">
        <w:rPr>
          <w:rFonts w:ascii="Garamond" w:hAnsi="Garamond" w:cs="Times New Roman"/>
          <w:szCs w:val="18"/>
        </w:rPr>
        <w:t>a single formal section, with a beginning, middle, and end?</w:t>
      </w:r>
    </w:p>
    <w:sectPr w:rsidR="005252D4" w:rsidRPr="005E222B" w:rsidSect="00BB35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60" w:h="15840"/>
      <w:pgMar w:top="1460" w:right="1440" w:bottom="28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0434" w14:textId="77777777" w:rsidR="00122E0E" w:rsidRDefault="00122E0E">
      <w:pPr>
        <w:spacing w:after="0" w:line="240" w:lineRule="auto"/>
      </w:pPr>
      <w:r>
        <w:separator/>
      </w:r>
    </w:p>
  </w:endnote>
  <w:endnote w:type="continuationSeparator" w:id="0">
    <w:p w14:paraId="6954EDCF" w14:textId="77777777" w:rsidR="00122E0E" w:rsidRDefault="0012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A255" w14:textId="77777777" w:rsidR="00B10349" w:rsidRDefault="00B10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C5C5" w14:textId="77777777" w:rsidR="00B10349" w:rsidRDefault="00B103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AAF" w14:textId="77777777" w:rsidR="00B10349" w:rsidRDefault="00B10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CA3C1" w14:textId="77777777" w:rsidR="00122E0E" w:rsidRDefault="00122E0E">
      <w:pPr>
        <w:spacing w:after="0" w:line="240" w:lineRule="auto"/>
      </w:pPr>
      <w:r>
        <w:separator/>
      </w:r>
    </w:p>
  </w:footnote>
  <w:footnote w:type="continuationSeparator" w:id="0">
    <w:p w14:paraId="62D2B222" w14:textId="77777777" w:rsidR="00122E0E" w:rsidRDefault="00122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00C1" w14:textId="77777777" w:rsidR="00B10349" w:rsidRDefault="00B10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64E50" w14:textId="0E21D163" w:rsidR="006E6C25" w:rsidRPr="00610E27" w:rsidRDefault="006E6C25" w:rsidP="00D51257">
    <w:pPr>
      <w:pStyle w:val="Header"/>
      <w:rPr>
        <w:rFonts w:ascii="Garamond" w:hAnsi="Garamond"/>
        <w:sz w:val="20"/>
        <w:szCs w:val="20"/>
      </w:rPr>
    </w:pPr>
    <w:r w:rsidRPr="00610E27">
      <w:rPr>
        <w:rFonts w:ascii="Garamond" w:hAnsi="Garamond"/>
        <w:sz w:val="20"/>
        <w:szCs w:val="20"/>
      </w:rPr>
      <w:t xml:space="preserve">Assignment 6, due </w:t>
    </w:r>
    <w:r w:rsidR="00156C29">
      <w:rPr>
        <w:rFonts w:ascii="Garamond" w:hAnsi="Garamond"/>
        <w:sz w:val="20"/>
        <w:szCs w:val="20"/>
      </w:rPr>
      <w:t xml:space="preserve">Tuesday </w:t>
    </w:r>
    <w:r w:rsidR="002F7755" w:rsidRPr="00610E27">
      <w:rPr>
        <w:rFonts w:ascii="Garamond" w:hAnsi="Garamond"/>
        <w:sz w:val="20"/>
        <w:szCs w:val="20"/>
      </w:rPr>
      <w:t>March</w:t>
    </w:r>
    <w:r w:rsidRPr="00610E27">
      <w:rPr>
        <w:rFonts w:ascii="Garamond" w:hAnsi="Garamond"/>
        <w:sz w:val="20"/>
        <w:szCs w:val="20"/>
      </w:rPr>
      <w:t xml:space="preserve"> </w:t>
    </w:r>
    <w:r w:rsidR="00B10349">
      <w:rPr>
        <w:rFonts w:ascii="Garamond" w:hAnsi="Garamond"/>
        <w:sz w:val="20"/>
        <w:szCs w:val="20"/>
      </w:rPr>
      <w:t>1</w:t>
    </w:r>
    <w:r w:rsidR="00156C29">
      <w:rPr>
        <w:rFonts w:ascii="Garamond" w:hAnsi="Garamond"/>
        <w:sz w:val="20"/>
        <w:szCs w:val="20"/>
      </w:rPr>
      <w:t>7</w:t>
    </w:r>
  </w:p>
  <w:p w14:paraId="49871FB7" w14:textId="77777777" w:rsidR="006E6C25" w:rsidRDefault="006E6C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E650" w14:textId="77777777" w:rsidR="00B10349" w:rsidRDefault="00B10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9448B"/>
    <w:multiLevelType w:val="hybridMultilevel"/>
    <w:tmpl w:val="2B607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29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2D4"/>
    <w:rsid w:val="000D3067"/>
    <w:rsid w:val="000D4D54"/>
    <w:rsid w:val="00122E0E"/>
    <w:rsid w:val="0013546F"/>
    <w:rsid w:val="00156C29"/>
    <w:rsid w:val="001D48A0"/>
    <w:rsid w:val="001E6908"/>
    <w:rsid w:val="002377E7"/>
    <w:rsid w:val="002B0FAD"/>
    <w:rsid w:val="002F7755"/>
    <w:rsid w:val="00314900"/>
    <w:rsid w:val="003610CE"/>
    <w:rsid w:val="00374A1C"/>
    <w:rsid w:val="003B1F24"/>
    <w:rsid w:val="00402AFA"/>
    <w:rsid w:val="00460895"/>
    <w:rsid w:val="004644CB"/>
    <w:rsid w:val="00464546"/>
    <w:rsid w:val="004C7A8F"/>
    <w:rsid w:val="005252D4"/>
    <w:rsid w:val="005E222B"/>
    <w:rsid w:val="00610E27"/>
    <w:rsid w:val="00630F0D"/>
    <w:rsid w:val="006C6E27"/>
    <w:rsid w:val="006E1877"/>
    <w:rsid w:val="006E6C25"/>
    <w:rsid w:val="00746D22"/>
    <w:rsid w:val="007810C3"/>
    <w:rsid w:val="00803278"/>
    <w:rsid w:val="00810AE1"/>
    <w:rsid w:val="0083336D"/>
    <w:rsid w:val="00854283"/>
    <w:rsid w:val="00916A59"/>
    <w:rsid w:val="00936585"/>
    <w:rsid w:val="00974D69"/>
    <w:rsid w:val="009E4C49"/>
    <w:rsid w:val="00A34CF7"/>
    <w:rsid w:val="00A64367"/>
    <w:rsid w:val="00A80F18"/>
    <w:rsid w:val="00A93779"/>
    <w:rsid w:val="00B10349"/>
    <w:rsid w:val="00B319E8"/>
    <w:rsid w:val="00B66579"/>
    <w:rsid w:val="00BB359B"/>
    <w:rsid w:val="00BD4D12"/>
    <w:rsid w:val="00BF3485"/>
    <w:rsid w:val="00C801D3"/>
    <w:rsid w:val="00C83CE8"/>
    <w:rsid w:val="00CF5312"/>
    <w:rsid w:val="00D466AE"/>
    <w:rsid w:val="00D51257"/>
    <w:rsid w:val="00D54E99"/>
    <w:rsid w:val="00DE652C"/>
    <w:rsid w:val="00E14BF1"/>
    <w:rsid w:val="00E44EBE"/>
    <w:rsid w:val="00E80074"/>
    <w:rsid w:val="00EA3878"/>
    <w:rsid w:val="00F03361"/>
    <w:rsid w:val="00F70286"/>
    <w:rsid w:val="00F826ED"/>
    <w:rsid w:val="00F859AD"/>
    <w:rsid w:val="00FA2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995BFE"/>
  <w15:docId w15:val="{0E49F480-0247-8840-B3A8-100BE436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2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257"/>
  </w:style>
  <w:style w:type="paragraph" w:styleId="Footer">
    <w:name w:val="footer"/>
    <w:basedOn w:val="Normal"/>
    <w:link w:val="FooterChar"/>
    <w:uiPriority w:val="99"/>
    <w:unhideWhenUsed/>
    <w:rsid w:val="00D512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257"/>
  </w:style>
  <w:style w:type="table" w:styleId="TableGrid">
    <w:name w:val="Table Grid"/>
    <w:basedOn w:val="TableNormal"/>
    <w:rsid w:val="00BD4D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A80F1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F775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775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nhideWhenUsed/>
    <w:rsid w:val="005E22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902</Words>
  <Characters>5147</Characters>
  <Application>Microsoft Office Word</Application>
  <DocSecurity>0</DocSecurity>
  <Lines>42</Lines>
  <Paragraphs>12</Paragraphs>
  <ScaleCrop>false</ScaleCrop>
  <Company>UC Irvine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</cp:lastModifiedBy>
  <cp:revision>43</cp:revision>
  <dcterms:created xsi:type="dcterms:W3CDTF">2016-05-09T00:08:00Z</dcterms:created>
  <dcterms:modified xsi:type="dcterms:W3CDTF">2025-12-29T02:42:00Z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2016-05-08T00:00:00Z</vt:filetime>
  </property>
  <property fmtid="{D5CDD505-2E9C-101B-9397-08002B2CF9AE}" pid="3" name="LastSaved">
    <vt:filetime>2016-05-08T00:00:00Z</vt:filetime>
  </property>
</Properties>
</file>